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86275" w14:textId="77777777" w:rsidR="00CE6D41" w:rsidRPr="00AE0245" w:rsidRDefault="00AE0245">
      <w:pPr>
        <w:rPr>
          <w:rFonts w:ascii="Arial" w:hAnsi="Arial" w:cs="Arial"/>
          <w:b/>
          <w:bCs/>
          <w:sz w:val="20"/>
          <w:highlight w:val="yellow"/>
        </w:rPr>
      </w:pPr>
      <w:r w:rsidRPr="00AE0245">
        <w:rPr>
          <w:rFonts w:ascii="Arial" w:hAnsi="Arial" w:cs="Arial"/>
          <w:b/>
          <w:bCs/>
          <w:sz w:val="20"/>
          <w:szCs w:val="20"/>
          <w:u w:val="single"/>
        </w:rPr>
        <w:t>Specification text</w:t>
      </w:r>
      <w:r w:rsidRPr="00AE0245">
        <w:rPr>
          <w:rFonts w:ascii="Arial" w:hAnsi="Arial" w:cs="Arial"/>
          <w:b/>
          <w:bCs/>
          <w:sz w:val="20"/>
          <w:u w:val="single"/>
        </w:rPr>
        <w:t xml:space="preserve">: </w:t>
      </w:r>
      <w:r w:rsidR="00657228" w:rsidRPr="00657228">
        <w:rPr>
          <w:rFonts w:ascii="Arial" w:hAnsi="Arial" w:cs="Arial"/>
          <w:b/>
          <w:bCs/>
          <w:sz w:val="20"/>
          <w:u w:val="single"/>
        </w:rPr>
        <w:t>Safety enclosure for the storage of lithium batteries</w:t>
      </w:r>
    </w:p>
    <w:p w14:paraId="07161E11" w14:textId="77777777" w:rsidR="00CE6D41" w:rsidRPr="00AE0245" w:rsidRDefault="004C445F" w:rsidP="004C445F">
      <w:pPr>
        <w:jc w:val="both"/>
        <w:rPr>
          <w:rFonts w:ascii="Arial" w:hAnsi="Arial" w:cs="Arial"/>
          <w:sz w:val="20"/>
          <w:highlight w:val="yellow"/>
        </w:rPr>
      </w:pPr>
      <w:r w:rsidRPr="004C445F">
        <w:rPr>
          <w:rFonts w:ascii="Arial" w:hAnsi="Arial" w:cs="Arial"/>
          <w:sz w:val="20"/>
          <w:szCs w:val="20"/>
        </w:rPr>
        <w:t xml:space="preserve">Tested fire protection enclosure with a fire resistance duration of at least 90 minutes, </w:t>
      </w:r>
      <w:r w:rsidRPr="00580C38">
        <w:rPr>
          <w:rFonts w:ascii="Arial" w:hAnsi="Arial" w:cs="Arial"/>
          <w:sz w:val="20"/>
          <w:szCs w:val="20"/>
        </w:rPr>
        <w:t>with a fire load from outside</w:t>
      </w:r>
      <w:r>
        <w:rPr>
          <w:rFonts w:ascii="Arial" w:hAnsi="Arial" w:cs="Arial"/>
          <w:sz w:val="20"/>
          <w:szCs w:val="20"/>
        </w:rPr>
        <w:t xml:space="preserve"> and inside in the sense of F90 and I90 in accordance with EN 1363-</w:t>
      </w:r>
      <w:r w:rsidRPr="004C445F">
        <w:rPr>
          <w:rFonts w:ascii="Arial" w:hAnsi="Arial" w:cs="Arial"/>
          <w:sz w:val="20"/>
          <w:szCs w:val="20"/>
        </w:rPr>
        <w:t>1</w:t>
      </w:r>
      <w:r w:rsidR="0079587F" w:rsidRPr="004C445F">
        <w:rPr>
          <w:rFonts w:ascii="Arial" w:hAnsi="Arial" w:cs="Arial"/>
          <w:sz w:val="20"/>
        </w:rPr>
        <w:t xml:space="preserve">. </w:t>
      </w:r>
      <w:r w:rsidRPr="004C445F">
        <w:rPr>
          <w:rFonts w:ascii="Arial" w:hAnsi="Arial" w:cs="Arial"/>
          <w:sz w:val="20"/>
        </w:rPr>
        <w:t>Suitable for batteries including lithium-ion batteries up to a capacity of 625Wh (plastic case).</w:t>
      </w:r>
    </w:p>
    <w:p w14:paraId="768C1384" w14:textId="77777777" w:rsidR="00CE6D41" w:rsidRPr="00AE0245" w:rsidRDefault="00CE6D41">
      <w:pPr>
        <w:rPr>
          <w:rFonts w:ascii="Arial" w:hAnsi="Arial" w:cs="Arial"/>
          <w:b/>
          <w:bCs/>
          <w:sz w:val="20"/>
          <w:highlight w:val="yellow"/>
        </w:rPr>
      </w:pPr>
    </w:p>
    <w:p w14:paraId="76D5A8A2" w14:textId="77777777" w:rsidR="00CE6D41" w:rsidRPr="00657228" w:rsidRDefault="00657228">
      <w:pPr>
        <w:rPr>
          <w:rFonts w:ascii="Arial" w:hAnsi="Arial" w:cs="Arial"/>
          <w:b/>
          <w:bCs/>
          <w:sz w:val="20"/>
        </w:rPr>
      </w:pPr>
      <w:r w:rsidRPr="00657228">
        <w:rPr>
          <w:rFonts w:ascii="Arial" w:hAnsi="Arial" w:cs="Arial"/>
          <w:b/>
          <w:bCs/>
          <w:sz w:val="20"/>
        </w:rPr>
        <w:t>Safety enclosure</w:t>
      </w:r>
      <w:r w:rsidR="00CE6D41" w:rsidRPr="00657228">
        <w:rPr>
          <w:rFonts w:ascii="Arial" w:hAnsi="Arial" w:cs="Arial"/>
          <w:b/>
          <w:bCs/>
          <w:sz w:val="20"/>
        </w:rPr>
        <w:t xml:space="preserve"> Typ</w:t>
      </w:r>
      <w:r w:rsidRPr="00657228">
        <w:rPr>
          <w:rFonts w:ascii="Arial" w:hAnsi="Arial" w:cs="Arial"/>
          <w:b/>
          <w:bCs/>
          <w:sz w:val="20"/>
        </w:rPr>
        <w:t>e</w:t>
      </w:r>
      <w:r w:rsidR="00CE6D41" w:rsidRPr="00657228">
        <w:rPr>
          <w:rFonts w:ascii="Arial" w:hAnsi="Arial" w:cs="Arial"/>
          <w:b/>
          <w:bCs/>
          <w:sz w:val="20"/>
        </w:rPr>
        <w:t xml:space="preserve"> </w:t>
      </w:r>
      <w:r w:rsidR="0008592B" w:rsidRPr="00657228">
        <w:rPr>
          <w:rFonts w:ascii="Arial" w:hAnsi="Arial" w:cs="Arial"/>
          <w:b/>
          <w:bCs/>
          <w:sz w:val="20"/>
        </w:rPr>
        <w:t>QUBE</w:t>
      </w:r>
      <w:r w:rsidR="00E07561" w:rsidRPr="00657228">
        <w:rPr>
          <w:rFonts w:ascii="Arial" w:hAnsi="Arial" w:cs="Arial"/>
          <w:b/>
          <w:bCs/>
          <w:sz w:val="20"/>
          <w:vertAlign w:val="superscript"/>
        </w:rPr>
        <w:t>®</w:t>
      </w:r>
      <w:r w:rsidR="00206862" w:rsidRPr="00657228">
        <w:rPr>
          <w:rFonts w:ascii="Arial" w:hAnsi="Arial" w:cs="Arial"/>
          <w:b/>
          <w:bCs/>
          <w:sz w:val="20"/>
        </w:rPr>
        <w:t xml:space="preserve"> </w:t>
      </w:r>
      <w:r w:rsidR="00844162" w:rsidRPr="00657228">
        <w:rPr>
          <w:rFonts w:ascii="Arial" w:hAnsi="Arial" w:cs="Arial"/>
          <w:b/>
          <w:bCs/>
          <w:sz w:val="20"/>
        </w:rPr>
        <w:t>–</w:t>
      </w:r>
      <w:r w:rsidR="00206862" w:rsidRPr="00657228">
        <w:rPr>
          <w:rFonts w:ascii="Arial" w:hAnsi="Arial" w:cs="Arial"/>
          <w:b/>
          <w:bCs/>
          <w:sz w:val="20"/>
        </w:rPr>
        <w:t xml:space="preserve"> </w:t>
      </w:r>
      <w:r w:rsidR="00844162" w:rsidRPr="00657228">
        <w:rPr>
          <w:rFonts w:ascii="Arial" w:hAnsi="Arial" w:cs="Arial"/>
          <w:b/>
          <w:bCs/>
          <w:sz w:val="20"/>
        </w:rPr>
        <w:t>Basi</w:t>
      </w:r>
      <w:r w:rsidRPr="00657228">
        <w:rPr>
          <w:rFonts w:ascii="Arial" w:hAnsi="Arial" w:cs="Arial"/>
          <w:b/>
          <w:bCs/>
          <w:sz w:val="20"/>
        </w:rPr>
        <w:t>c</w:t>
      </w:r>
      <w:r w:rsidR="00844162" w:rsidRPr="00657228">
        <w:rPr>
          <w:rFonts w:ascii="Arial" w:hAnsi="Arial" w:cs="Arial"/>
          <w:b/>
          <w:bCs/>
          <w:sz w:val="20"/>
        </w:rPr>
        <w:t xml:space="preserve"> Plus</w:t>
      </w:r>
      <w:r w:rsidR="0008592B" w:rsidRPr="00657228">
        <w:rPr>
          <w:rFonts w:ascii="Arial" w:hAnsi="Arial" w:cs="Arial"/>
          <w:b/>
          <w:bCs/>
          <w:sz w:val="20"/>
        </w:rPr>
        <w:t xml:space="preserve"> </w:t>
      </w:r>
      <w:r w:rsidRPr="00657228">
        <w:rPr>
          <w:rFonts w:ascii="Arial" w:hAnsi="Arial" w:cs="Arial"/>
          <w:b/>
          <w:bCs/>
          <w:sz w:val="20"/>
        </w:rPr>
        <w:t>free-standing</w:t>
      </w:r>
      <w:r w:rsidR="0008592B" w:rsidRPr="00657228">
        <w:rPr>
          <w:rFonts w:ascii="Arial" w:hAnsi="Arial" w:cs="Arial"/>
          <w:b/>
          <w:bCs/>
          <w:sz w:val="20"/>
        </w:rPr>
        <w:t xml:space="preserve"> </w:t>
      </w:r>
      <w:r w:rsidRPr="00657228">
        <w:rPr>
          <w:rFonts w:ascii="Arial" w:hAnsi="Arial" w:cs="Arial"/>
          <w:b/>
          <w:bCs/>
          <w:sz w:val="20"/>
        </w:rPr>
        <w:t>floor-standing enclosure</w:t>
      </w:r>
      <w:r w:rsidR="00CE6D41" w:rsidRPr="00657228">
        <w:rPr>
          <w:rFonts w:ascii="Arial" w:hAnsi="Arial" w:cs="Arial"/>
          <w:b/>
          <w:bCs/>
          <w:sz w:val="20"/>
        </w:rPr>
        <w:t xml:space="preserve"> </w:t>
      </w:r>
    </w:p>
    <w:p w14:paraId="7DB34E73" w14:textId="77777777" w:rsidR="0008592B" w:rsidRPr="00657228" w:rsidRDefault="0008592B">
      <w:pPr>
        <w:rPr>
          <w:rFonts w:ascii="Arial" w:hAnsi="Arial" w:cs="Arial"/>
          <w:b/>
          <w:bCs/>
          <w:sz w:val="20"/>
          <w:highlight w:val="yellow"/>
        </w:rPr>
      </w:pPr>
    </w:p>
    <w:p w14:paraId="62D59EDE" w14:textId="77777777" w:rsidR="00CE6D41" w:rsidRPr="004C445F" w:rsidRDefault="004C445F">
      <w:pPr>
        <w:numPr>
          <w:ilvl w:val="0"/>
          <w:numId w:val="3"/>
        </w:numPr>
        <w:jc w:val="both"/>
        <w:rPr>
          <w:rFonts w:ascii="Arial" w:hAnsi="Arial" w:cs="Arial"/>
          <w:sz w:val="20"/>
        </w:rPr>
      </w:pPr>
      <w:r w:rsidRPr="004C445F">
        <w:rPr>
          <w:rFonts w:ascii="Arial" w:hAnsi="Arial" w:cs="Arial"/>
          <w:sz w:val="20"/>
        </w:rPr>
        <w:t>With tested fire resistance over 90 minutes</w:t>
      </w:r>
    </w:p>
    <w:p w14:paraId="383C85B0" w14:textId="77777777" w:rsidR="00CE6D41" w:rsidRDefault="004C445F">
      <w:pPr>
        <w:numPr>
          <w:ilvl w:val="0"/>
          <w:numId w:val="3"/>
        </w:numPr>
        <w:jc w:val="both"/>
        <w:rPr>
          <w:rFonts w:ascii="Arial" w:hAnsi="Arial" w:cs="Arial"/>
          <w:sz w:val="20"/>
        </w:rPr>
      </w:pPr>
      <w:r w:rsidRPr="004C445F">
        <w:rPr>
          <w:rFonts w:ascii="Arial" w:hAnsi="Arial" w:cs="Arial"/>
          <w:sz w:val="20"/>
        </w:rPr>
        <w:t>With tested fire load insulation over 90 minutes</w:t>
      </w:r>
    </w:p>
    <w:p w14:paraId="04E17F04" w14:textId="77777777" w:rsidR="004C445F" w:rsidRDefault="004C445F">
      <w:pPr>
        <w:numPr>
          <w:ilvl w:val="0"/>
          <w:numId w:val="3"/>
        </w:numPr>
        <w:jc w:val="both"/>
        <w:rPr>
          <w:rFonts w:ascii="Arial" w:hAnsi="Arial" w:cs="Arial"/>
          <w:sz w:val="20"/>
        </w:rPr>
      </w:pPr>
      <w:r>
        <w:rPr>
          <w:rFonts w:ascii="Arial" w:hAnsi="Arial" w:cs="Arial"/>
          <w:sz w:val="20"/>
        </w:rPr>
        <w:t xml:space="preserve">Function </w:t>
      </w:r>
      <w:r w:rsidRPr="004C445F">
        <w:rPr>
          <w:rFonts w:ascii="Arial" w:hAnsi="Arial" w:cs="Arial"/>
          <w:sz w:val="20"/>
        </w:rPr>
        <w:t>test with the use of propagation tests at an official testing institute</w:t>
      </w:r>
    </w:p>
    <w:p w14:paraId="59D27A45" w14:textId="77777777" w:rsidR="004C445F" w:rsidRDefault="004C445F" w:rsidP="00AE0245">
      <w:pPr>
        <w:rPr>
          <w:rFonts w:ascii="Arial" w:hAnsi="Arial" w:cs="Arial"/>
          <w:b/>
          <w:bCs/>
          <w:sz w:val="20"/>
          <w:szCs w:val="20"/>
        </w:rPr>
      </w:pPr>
    </w:p>
    <w:p w14:paraId="7AA97D48" w14:textId="77777777" w:rsidR="00AE0245" w:rsidRPr="00580C38" w:rsidRDefault="00AE0245" w:rsidP="00AE0245">
      <w:pPr>
        <w:rPr>
          <w:rFonts w:ascii="Arial" w:hAnsi="Arial" w:cs="Arial"/>
          <w:b/>
          <w:bCs/>
          <w:sz w:val="20"/>
          <w:szCs w:val="20"/>
        </w:rPr>
      </w:pPr>
      <w:r w:rsidRPr="00580C38">
        <w:rPr>
          <w:rFonts w:ascii="Arial" w:hAnsi="Arial" w:cs="Arial"/>
          <w:b/>
          <w:bCs/>
          <w:sz w:val="20"/>
          <w:szCs w:val="20"/>
        </w:rPr>
        <w:t xml:space="preserve">Dimensions and technical data </w:t>
      </w:r>
    </w:p>
    <w:p w14:paraId="533839A7" w14:textId="77777777" w:rsidR="00476C61" w:rsidRPr="00AE0245" w:rsidRDefault="00476C61" w:rsidP="00476C61">
      <w:pPr>
        <w:ind w:left="708"/>
        <w:jc w:val="both"/>
        <w:rPr>
          <w:rFonts w:ascii="Arial" w:hAnsi="Arial" w:cs="Arial"/>
          <w:sz w:val="20"/>
        </w:rPr>
      </w:pPr>
    </w:p>
    <w:p w14:paraId="2F08974E" w14:textId="77777777" w:rsidR="00476C61" w:rsidRPr="00EE323C" w:rsidRDefault="00476C61" w:rsidP="00476C61">
      <w:pPr>
        <w:numPr>
          <w:ilvl w:val="0"/>
          <w:numId w:val="3"/>
        </w:numPr>
        <w:jc w:val="both"/>
        <w:rPr>
          <w:rFonts w:ascii="Arial" w:hAnsi="Arial" w:cs="Arial"/>
          <w:b/>
          <w:bCs/>
          <w:sz w:val="20"/>
        </w:rPr>
      </w:pPr>
      <w:r w:rsidRPr="00EE323C">
        <w:rPr>
          <w:rFonts w:ascii="Arial" w:hAnsi="Arial" w:cs="Arial"/>
          <w:b/>
          <w:bCs/>
          <w:sz w:val="20"/>
        </w:rPr>
        <w:t>Typ</w:t>
      </w:r>
      <w:r w:rsidR="00AE0245" w:rsidRPr="00EE323C">
        <w:rPr>
          <w:rFonts w:ascii="Arial" w:hAnsi="Arial" w:cs="Arial"/>
          <w:b/>
          <w:bCs/>
          <w:sz w:val="20"/>
        </w:rPr>
        <w:t>e</w:t>
      </w:r>
      <w:r w:rsidRPr="00EE323C">
        <w:rPr>
          <w:rFonts w:ascii="Arial" w:hAnsi="Arial" w:cs="Arial"/>
          <w:b/>
          <w:bCs/>
          <w:sz w:val="20"/>
        </w:rPr>
        <w:t xml:space="preserve"> </w:t>
      </w:r>
      <w:r w:rsidR="0008592B" w:rsidRPr="00EE323C">
        <w:rPr>
          <w:rFonts w:ascii="Arial" w:hAnsi="Arial" w:cs="Arial"/>
          <w:b/>
          <w:bCs/>
          <w:sz w:val="20"/>
        </w:rPr>
        <w:t>QUBE</w:t>
      </w:r>
      <w:r w:rsidR="00CE02BF" w:rsidRPr="00EE323C">
        <w:rPr>
          <w:rFonts w:ascii="Arial" w:hAnsi="Arial" w:cs="Arial"/>
          <w:b/>
          <w:bCs/>
          <w:sz w:val="20"/>
          <w:vertAlign w:val="superscript"/>
        </w:rPr>
        <w:t>®</w:t>
      </w:r>
      <w:r w:rsidR="00BC6A97" w:rsidRPr="00EE323C">
        <w:rPr>
          <w:rFonts w:ascii="Arial" w:hAnsi="Arial" w:cs="Arial"/>
          <w:b/>
          <w:bCs/>
          <w:sz w:val="20"/>
        </w:rPr>
        <w:t xml:space="preserve"> – Basi</w:t>
      </w:r>
      <w:r w:rsidR="00EE323C" w:rsidRPr="00EE323C">
        <w:rPr>
          <w:rFonts w:ascii="Arial" w:hAnsi="Arial" w:cs="Arial"/>
          <w:b/>
          <w:bCs/>
          <w:sz w:val="20"/>
        </w:rPr>
        <w:t>c</w:t>
      </w:r>
      <w:r w:rsidR="00BC6A97" w:rsidRPr="00EE323C">
        <w:rPr>
          <w:rFonts w:ascii="Arial" w:hAnsi="Arial" w:cs="Arial"/>
          <w:b/>
          <w:bCs/>
          <w:sz w:val="20"/>
        </w:rPr>
        <w:t xml:space="preserve"> Plus</w:t>
      </w:r>
      <w:r w:rsidR="0008592B" w:rsidRPr="00EE323C">
        <w:rPr>
          <w:rFonts w:ascii="Arial" w:hAnsi="Arial" w:cs="Arial"/>
          <w:b/>
          <w:bCs/>
          <w:sz w:val="20"/>
        </w:rPr>
        <w:t xml:space="preserve"> </w:t>
      </w:r>
      <w:r w:rsidR="00EE323C" w:rsidRPr="00EE323C">
        <w:rPr>
          <w:rFonts w:ascii="Arial" w:hAnsi="Arial" w:cs="Arial"/>
          <w:b/>
          <w:bCs/>
          <w:sz w:val="20"/>
        </w:rPr>
        <w:t>safety enclosure for batteries, single-door</w:t>
      </w:r>
      <w:r w:rsidR="0008592B" w:rsidRPr="00EE323C">
        <w:rPr>
          <w:rFonts w:ascii="Arial" w:hAnsi="Arial" w:cs="Arial"/>
          <w:b/>
          <w:bCs/>
          <w:sz w:val="20"/>
        </w:rPr>
        <w:t xml:space="preserve"> </w:t>
      </w:r>
    </w:p>
    <w:p w14:paraId="77A16ACB" w14:textId="77777777" w:rsidR="00476C61" w:rsidRPr="00AE0245" w:rsidRDefault="00AE0245" w:rsidP="00476C61">
      <w:pPr>
        <w:pStyle w:val="berschrift3"/>
      </w:pPr>
      <w:r>
        <w:t>External dimensions</w:t>
      </w:r>
      <w:r w:rsidR="00476C61" w:rsidRPr="00AE0245">
        <w:t xml:space="preserve"> in mm </w:t>
      </w:r>
      <w:r w:rsidR="00476C61" w:rsidRPr="00AE0245">
        <w:tab/>
      </w:r>
      <w:r w:rsidR="00476C61" w:rsidRPr="00AE0245">
        <w:tab/>
      </w:r>
      <w:r>
        <w:t>Internal dimensions</w:t>
      </w:r>
      <w:r w:rsidR="00476C61" w:rsidRPr="00AE0245">
        <w:t xml:space="preserve"> in mm </w:t>
      </w:r>
      <w:r w:rsidR="00476C61" w:rsidRPr="00AE0245">
        <w:tab/>
      </w:r>
      <w:r w:rsidR="00476C61" w:rsidRPr="00AE0245">
        <w:tab/>
        <w:t xml:space="preserve">  </w:t>
      </w:r>
    </w:p>
    <w:p w14:paraId="068AD753" w14:textId="77777777" w:rsidR="00476C61" w:rsidRPr="00AE0245" w:rsidRDefault="00476C61" w:rsidP="00476C61">
      <w:pPr>
        <w:ind w:left="708"/>
        <w:jc w:val="both"/>
        <w:rPr>
          <w:rFonts w:ascii="Arial" w:hAnsi="Arial" w:cs="Arial"/>
          <w:sz w:val="20"/>
        </w:rPr>
      </w:pPr>
      <w:r w:rsidRPr="00AE0245">
        <w:rPr>
          <w:rFonts w:ascii="Arial" w:hAnsi="Arial" w:cs="Arial"/>
          <w:sz w:val="20"/>
        </w:rPr>
        <w:t xml:space="preserve">H </w:t>
      </w:r>
      <w:r w:rsidR="00206862" w:rsidRPr="00AE0245">
        <w:rPr>
          <w:rFonts w:ascii="Arial" w:hAnsi="Arial" w:cs="Arial"/>
          <w:sz w:val="20"/>
        </w:rPr>
        <w:t>600</w:t>
      </w:r>
      <w:r w:rsidRPr="00AE0245">
        <w:rPr>
          <w:rFonts w:ascii="Arial" w:hAnsi="Arial" w:cs="Arial"/>
          <w:sz w:val="20"/>
        </w:rPr>
        <w:tab/>
      </w:r>
      <w:r w:rsidR="00AE0245">
        <w:rPr>
          <w:rFonts w:ascii="Arial" w:hAnsi="Arial" w:cs="Arial"/>
          <w:sz w:val="20"/>
        </w:rPr>
        <w:t>W</w:t>
      </w:r>
      <w:r w:rsidRPr="00AE0245">
        <w:rPr>
          <w:rFonts w:ascii="Arial" w:hAnsi="Arial" w:cs="Arial"/>
          <w:sz w:val="20"/>
        </w:rPr>
        <w:t xml:space="preserve"> </w:t>
      </w:r>
      <w:r w:rsidR="00206862" w:rsidRPr="00AE0245">
        <w:rPr>
          <w:rFonts w:ascii="Arial" w:hAnsi="Arial" w:cs="Arial"/>
          <w:sz w:val="20"/>
        </w:rPr>
        <w:t>600</w:t>
      </w:r>
      <w:r w:rsidR="00954895" w:rsidRPr="00AE0245">
        <w:rPr>
          <w:rFonts w:ascii="Arial" w:hAnsi="Arial" w:cs="Arial"/>
          <w:sz w:val="20"/>
        </w:rPr>
        <w:t>*</w:t>
      </w:r>
      <w:r w:rsidR="00054CF2" w:rsidRPr="00AE0245">
        <w:rPr>
          <w:rFonts w:ascii="Arial" w:hAnsi="Arial" w:cs="Arial"/>
          <w:sz w:val="20"/>
        </w:rPr>
        <w:t xml:space="preserve"> </w:t>
      </w:r>
      <w:r w:rsidRPr="00AE0245">
        <w:rPr>
          <w:rFonts w:ascii="Arial" w:hAnsi="Arial" w:cs="Arial"/>
          <w:sz w:val="20"/>
        </w:rPr>
        <w:t xml:space="preserve"> </w:t>
      </w:r>
      <w:r w:rsidR="00AE0245">
        <w:rPr>
          <w:rFonts w:ascii="Arial" w:hAnsi="Arial" w:cs="Arial"/>
          <w:sz w:val="20"/>
        </w:rPr>
        <w:t>D</w:t>
      </w:r>
      <w:r w:rsidRPr="00AE0245">
        <w:rPr>
          <w:rFonts w:ascii="Arial" w:hAnsi="Arial" w:cs="Arial"/>
          <w:sz w:val="20"/>
        </w:rPr>
        <w:t xml:space="preserve"> </w:t>
      </w:r>
      <w:r w:rsidR="00206862" w:rsidRPr="00AE0245">
        <w:rPr>
          <w:rFonts w:ascii="Arial" w:hAnsi="Arial" w:cs="Arial"/>
          <w:sz w:val="20"/>
        </w:rPr>
        <w:t>600</w:t>
      </w:r>
      <w:r w:rsidRPr="00AE0245">
        <w:rPr>
          <w:rFonts w:ascii="Arial" w:hAnsi="Arial" w:cs="Arial"/>
          <w:sz w:val="20"/>
        </w:rPr>
        <w:t xml:space="preserve"> </w:t>
      </w:r>
      <w:r w:rsidRPr="00AE0245">
        <w:rPr>
          <w:rFonts w:ascii="Arial" w:hAnsi="Arial" w:cs="Arial"/>
          <w:sz w:val="20"/>
        </w:rPr>
        <w:tab/>
      </w:r>
      <w:r w:rsidR="00D11F23" w:rsidRPr="00AE0245">
        <w:rPr>
          <w:rFonts w:ascii="Arial" w:hAnsi="Arial" w:cs="Arial"/>
          <w:sz w:val="20"/>
        </w:rPr>
        <w:tab/>
      </w:r>
      <w:r w:rsidR="00AE0245">
        <w:rPr>
          <w:rFonts w:ascii="Arial" w:hAnsi="Arial" w:cs="Arial"/>
          <w:sz w:val="20"/>
        </w:rPr>
        <w:tab/>
      </w:r>
      <w:r w:rsidRPr="00AE0245">
        <w:rPr>
          <w:rFonts w:ascii="Arial" w:hAnsi="Arial" w:cs="Arial"/>
          <w:sz w:val="20"/>
        </w:rPr>
        <w:t xml:space="preserve">H </w:t>
      </w:r>
      <w:r w:rsidR="00206862" w:rsidRPr="00AE0245">
        <w:rPr>
          <w:rFonts w:ascii="Arial" w:hAnsi="Arial" w:cs="Arial"/>
          <w:sz w:val="20"/>
        </w:rPr>
        <w:t>343</w:t>
      </w:r>
      <w:r w:rsidR="00054CF2" w:rsidRPr="00AE0245">
        <w:rPr>
          <w:rFonts w:ascii="Arial" w:hAnsi="Arial" w:cs="Arial"/>
          <w:sz w:val="20"/>
        </w:rPr>
        <w:t xml:space="preserve"> </w:t>
      </w:r>
      <w:r w:rsidRPr="00AE0245">
        <w:rPr>
          <w:rFonts w:ascii="Arial" w:hAnsi="Arial" w:cs="Arial"/>
          <w:sz w:val="20"/>
        </w:rPr>
        <w:t xml:space="preserve"> </w:t>
      </w:r>
      <w:r w:rsidR="00AE0245">
        <w:rPr>
          <w:rFonts w:ascii="Arial" w:hAnsi="Arial" w:cs="Arial"/>
          <w:sz w:val="20"/>
        </w:rPr>
        <w:t>W</w:t>
      </w:r>
      <w:r w:rsidRPr="00AE0245">
        <w:rPr>
          <w:rFonts w:ascii="Arial" w:hAnsi="Arial" w:cs="Arial"/>
          <w:sz w:val="20"/>
        </w:rPr>
        <w:t xml:space="preserve"> </w:t>
      </w:r>
      <w:r w:rsidR="00206862" w:rsidRPr="00AE0245">
        <w:rPr>
          <w:rFonts w:ascii="Arial" w:hAnsi="Arial" w:cs="Arial"/>
          <w:sz w:val="20"/>
        </w:rPr>
        <w:t xml:space="preserve">458 </w:t>
      </w:r>
      <w:r w:rsidRPr="00AE0245">
        <w:rPr>
          <w:rFonts w:ascii="Arial" w:hAnsi="Arial" w:cs="Arial"/>
          <w:sz w:val="20"/>
        </w:rPr>
        <w:t xml:space="preserve"> </w:t>
      </w:r>
      <w:r w:rsidR="00AE0245">
        <w:rPr>
          <w:rFonts w:ascii="Arial" w:hAnsi="Arial" w:cs="Arial"/>
          <w:sz w:val="20"/>
        </w:rPr>
        <w:t>D</w:t>
      </w:r>
      <w:r w:rsidRPr="00AE0245">
        <w:rPr>
          <w:rFonts w:ascii="Arial" w:hAnsi="Arial" w:cs="Arial"/>
          <w:sz w:val="20"/>
        </w:rPr>
        <w:t xml:space="preserve"> </w:t>
      </w:r>
      <w:r w:rsidR="00206862" w:rsidRPr="00AE0245">
        <w:rPr>
          <w:rFonts w:ascii="Arial" w:hAnsi="Arial" w:cs="Arial"/>
          <w:sz w:val="20"/>
        </w:rPr>
        <w:t>458</w:t>
      </w:r>
      <w:r w:rsidRPr="00AE0245">
        <w:rPr>
          <w:rFonts w:ascii="Arial" w:hAnsi="Arial" w:cs="Arial"/>
          <w:sz w:val="20"/>
        </w:rPr>
        <w:tab/>
      </w:r>
      <w:r w:rsidRPr="00AE0245">
        <w:rPr>
          <w:rFonts w:ascii="Arial" w:hAnsi="Arial" w:cs="Arial"/>
          <w:sz w:val="20"/>
        </w:rPr>
        <w:tab/>
      </w:r>
      <w:r w:rsidRPr="00AE0245">
        <w:rPr>
          <w:rFonts w:ascii="Arial" w:hAnsi="Arial" w:cs="Arial"/>
          <w:sz w:val="20"/>
        </w:rPr>
        <w:tab/>
      </w:r>
    </w:p>
    <w:p w14:paraId="17733C15" w14:textId="77777777" w:rsidR="00CE02BF" w:rsidRPr="00AE0245" w:rsidRDefault="00AE0245" w:rsidP="002A2FDE">
      <w:pPr>
        <w:ind w:left="708"/>
        <w:jc w:val="both"/>
        <w:rPr>
          <w:rFonts w:ascii="Arial" w:hAnsi="Arial" w:cs="Arial"/>
          <w:sz w:val="20"/>
        </w:rPr>
      </w:pPr>
      <w:r>
        <w:rPr>
          <w:rFonts w:ascii="Arial" w:hAnsi="Arial" w:cs="Arial"/>
          <w:sz w:val="20"/>
        </w:rPr>
        <w:t>Weight approx</w:t>
      </w:r>
      <w:r w:rsidR="00476C61" w:rsidRPr="00AE0245">
        <w:rPr>
          <w:rFonts w:ascii="Arial" w:hAnsi="Arial" w:cs="Arial"/>
          <w:sz w:val="20"/>
        </w:rPr>
        <w:t>.</w:t>
      </w:r>
      <w:r w:rsidR="00646499" w:rsidRPr="00AE0245">
        <w:rPr>
          <w:rFonts w:ascii="Arial" w:hAnsi="Arial" w:cs="Arial"/>
          <w:sz w:val="20"/>
        </w:rPr>
        <w:t xml:space="preserve"> </w:t>
      </w:r>
      <w:r w:rsidR="00206862" w:rsidRPr="00AE0245">
        <w:rPr>
          <w:rFonts w:ascii="Arial" w:hAnsi="Arial" w:cs="Arial"/>
          <w:sz w:val="20"/>
        </w:rPr>
        <w:t>98</w:t>
      </w:r>
      <w:r w:rsidR="00BE6B3F" w:rsidRPr="00AE0245">
        <w:rPr>
          <w:rFonts w:ascii="Arial" w:hAnsi="Arial" w:cs="Arial"/>
          <w:sz w:val="20"/>
        </w:rPr>
        <w:t xml:space="preserve"> kg</w:t>
      </w:r>
      <w:r w:rsidR="00206862" w:rsidRPr="00AE0245">
        <w:rPr>
          <w:rFonts w:ascii="Arial" w:hAnsi="Arial" w:cs="Arial"/>
          <w:sz w:val="20"/>
        </w:rPr>
        <w:t>*</w:t>
      </w:r>
      <w:r w:rsidR="002A2FDE" w:rsidRPr="00AE0245">
        <w:rPr>
          <w:rFonts w:ascii="Arial" w:hAnsi="Arial" w:cs="Arial"/>
          <w:sz w:val="20"/>
        </w:rPr>
        <w:t xml:space="preserve">                                                        </w:t>
      </w:r>
    </w:p>
    <w:p w14:paraId="3AD4BC8F" w14:textId="77777777" w:rsidR="00CE02BF" w:rsidRPr="00AE0245" w:rsidRDefault="00CE02BF" w:rsidP="002A2FDE">
      <w:pPr>
        <w:ind w:left="708"/>
        <w:jc w:val="both"/>
        <w:rPr>
          <w:rFonts w:ascii="Arial" w:hAnsi="Arial" w:cs="Arial"/>
          <w:sz w:val="20"/>
        </w:rPr>
      </w:pPr>
    </w:p>
    <w:p w14:paraId="0E528601" w14:textId="77777777" w:rsidR="00206862" w:rsidRPr="00AE0245" w:rsidRDefault="00206862" w:rsidP="002A2FDE">
      <w:pPr>
        <w:ind w:left="708"/>
        <w:jc w:val="both"/>
        <w:rPr>
          <w:rFonts w:ascii="Arial" w:hAnsi="Arial" w:cs="Arial"/>
          <w:sz w:val="20"/>
        </w:rPr>
      </w:pPr>
      <w:r w:rsidRPr="00EE323C">
        <w:rPr>
          <w:rFonts w:ascii="Arial" w:hAnsi="Arial" w:cs="Arial"/>
          <w:sz w:val="18"/>
          <w:szCs w:val="22"/>
        </w:rPr>
        <w:t>*</w:t>
      </w:r>
      <w:r w:rsidR="00EE323C">
        <w:rPr>
          <w:rFonts w:ascii="Arial" w:hAnsi="Arial" w:cs="Arial"/>
          <w:sz w:val="18"/>
          <w:szCs w:val="22"/>
        </w:rPr>
        <w:t>w</w:t>
      </w:r>
      <w:r w:rsidR="00EE323C" w:rsidRPr="00EE323C">
        <w:rPr>
          <w:rFonts w:ascii="Arial" w:hAnsi="Arial" w:cs="Arial"/>
          <w:sz w:val="18"/>
          <w:szCs w:val="22"/>
        </w:rPr>
        <w:t>ithout extinguishing agent container</w:t>
      </w:r>
    </w:p>
    <w:p w14:paraId="0EEB95DB" w14:textId="77777777" w:rsidR="00A067FF" w:rsidRPr="00AE0245" w:rsidRDefault="00A067FF">
      <w:pPr>
        <w:jc w:val="both"/>
        <w:rPr>
          <w:rFonts w:ascii="Arial" w:hAnsi="Arial" w:cs="Arial"/>
          <w:b/>
          <w:bCs/>
          <w:sz w:val="20"/>
        </w:rPr>
      </w:pPr>
    </w:p>
    <w:p w14:paraId="7EE09C97" w14:textId="77777777" w:rsidR="00CE6D41" w:rsidRPr="00AE0245" w:rsidRDefault="00AE0245">
      <w:pPr>
        <w:jc w:val="both"/>
        <w:rPr>
          <w:rFonts w:ascii="Arial" w:hAnsi="Arial" w:cs="Arial"/>
          <w:b/>
          <w:bCs/>
          <w:sz w:val="20"/>
        </w:rPr>
      </w:pPr>
      <w:r>
        <w:rPr>
          <w:rFonts w:ascii="Arial" w:hAnsi="Arial" w:cs="Arial"/>
          <w:b/>
          <w:bCs/>
          <w:sz w:val="20"/>
        </w:rPr>
        <w:t>Enclosure</w:t>
      </w:r>
    </w:p>
    <w:p w14:paraId="09E4493D" w14:textId="77777777" w:rsidR="00CE6D41" w:rsidRPr="00AE0245" w:rsidRDefault="00A13692">
      <w:pPr>
        <w:ind w:left="360"/>
        <w:jc w:val="both"/>
        <w:rPr>
          <w:rFonts w:ascii="Arial" w:hAnsi="Arial" w:cs="Arial"/>
          <w:sz w:val="20"/>
        </w:rPr>
      </w:pPr>
      <w:r w:rsidRPr="00AE0245">
        <w:rPr>
          <w:rFonts w:ascii="Arial" w:hAnsi="Arial" w:cs="Arial"/>
          <w:sz w:val="20"/>
        </w:rPr>
        <w:t xml:space="preserve"> </w:t>
      </w:r>
    </w:p>
    <w:p w14:paraId="15DA70B8" w14:textId="77777777" w:rsidR="00CE6D41" w:rsidRPr="008F45A7" w:rsidRDefault="00E41293">
      <w:pPr>
        <w:numPr>
          <w:ilvl w:val="0"/>
          <w:numId w:val="3"/>
        </w:numPr>
        <w:jc w:val="both"/>
        <w:rPr>
          <w:rFonts w:ascii="Arial" w:hAnsi="Arial" w:cs="Arial"/>
          <w:sz w:val="20"/>
        </w:rPr>
      </w:pPr>
      <w:r>
        <w:rPr>
          <w:rFonts w:ascii="Arial" w:hAnsi="Arial" w:cs="Arial"/>
          <w:sz w:val="20"/>
        </w:rPr>
        <w:t>C</w:t>
      </w:r>
      <w:r w:rsidR="008F45A7" w:rsidRPr="008F45A7">
        <w:rPr>
          <w:rFonts w:ascii="Arial" w:hAnsi="Arial" w:cs="Arial"/>
          <w:sz w:val="20"/>
        </w:rPr>
        <w:t>losure with narrow edge banding to protect against impact loads at the edge</w:t>
      </w:r>
    </w:p>
    <w:p w14:paraId="78230839" w14:textId="77777777" w:rsidR="00977FD9" w:rsidRPr="004C14ED" w:rsidRDefault="004C14ED">
      <w:pPr>
        <w:numPr>
          <w:ilvl w:val="0"/>
          <w:numId w:val="3"/>
        </w:numPr>
        <w:jc w:val="both"/>
        <w:rPr>
          <w:rFonts w:ascii="Arial" w:hAnsi="Arial" w:cs="Arial"/>
          <w:sz w:val="20"/>
        </w:rPr>
      </w:pPr>
      <w:r w:rsidRPr="004C14ED">
        <w:rPr>
          <w:rFonts w:ascii="Arial" w:hAnsi="Arial" w:cs="Arial"/>
          <w:sz w:val="20"/>
          <w:szCs w:val="20"/>
        </w:rPr>
        <w:t>Lockable closure</w:t>
      </w:r>
    </w:p>
    <w:p w14:paraId="72FF7A8D" w14:textId="77777777" w:rsidR="00054CF2" w:rsidRPr="004C14ED" w:rsidRDefault="004C14ED">
      <w:pPr>
        <w:numPr>
          <w:ilvl w:val="0"/>
          <w:numId w:val="3"/>
        </w:numPr>
        <w:jc w:val="both"/>
        <w:rPr>
          <w:rFonts w:ascii="Arial" w:hAnsi="Arial" w:cs="Arial"/>
          <w:sz w:val="20"/>
        </w:rPr>
      </w:pPr>
      <w:r w:rsidRPr="004C14ED">
        <w:rPr>
          <w:rFonts w:ascii="Arial" w:hAnsi="Arial" w:cs="Arial"/>
          <w:sz w:val="20"/>
          <w:szCs w:val="20"/>
        </w:rPr>
        <w:t>Self-closing due to special hinge</w:t>
      </w:r>
    </w:p>
    <w:p w14:paraId="4E0D5933" w14:textId="77777777" w:rsidR="00CE02BF" w:rsidRPr="00E41293" w:rsidRDefault="00E41293" w:rsidP="00CE02BF">
      <w:pPr>
        <w:numPr>
          <w:ilvl w:val="0"/>
          <w:numId w:val="3"/>
        </w:numPr>
        <w:jc w:val="both"/>
        <w:rPr>
          <w:rFonts w:ascii="Arial" w:hAnsi="Arial" w:cs="Arial"/>
          <w:b/>
          <w:bCs/>
          <w:sz w:val="20"/>
        </w:rPr>
      </w:pPr>
      <w:r w:rsidRPr="00E41293">
        <w:rPr>
          <w:rFonts w:ascii="Arial" w:hAnsi="Arial" w:cs="Arial"/>
          <w:sz w:val="20"/>
          <w:szCs w:val="20"/>
        </w:rPr>
        <w:t>Automatic extinguishing and cooling system in conjunction with interior temperature monitoring, particularly suitable for lithium batteries</w:t>
      </w:r>
    </w:p>
    <w:p w14:paraId="7123DB9B" w14:textId="77777777" w:rsidR="00CE02BF" w:rsidRPr="00E41293" w:rsidRDefault="00E41293" w:rsidP="00CE02BF">
      <w:pPr>
        <w:numPr>
          <w:ilvl w:val="0"/>
          <w:numId w:val="3"/>
        </w:numPr>
        <w:jc w:val="both"/>
        <w:rPr>
          <w:rFonts w:ascii="Arial" w:hAnsi="Arial" w:cs="Arial"/>
          <w:sz w:val="20"/>
        </w:rPr>
      </w:pPr>
      <w:r w:rsidRPr="00E41293">
        <w:rPr>
          <w:rFonts w:ascii="Arial" w:hAnsi="Arial" w:cs="Arial"/>
          <w:sz w:val="20"/>
          <w:szCs w:val="20"/>
        </w:rPr>
        <w:t>9l extinguishing agent container made of quality sheet steel with corrosion-resistant polyester resin coating, pressure gauge, bracket and bilingual commissioning and maintenance instructions (German/English)</w:t>
      </w:r>
    </w:p>
    <w:p w14:paraId="07ACC099" w14:textId="77777777" w:rsidR="00CE02BF" w:rsidRPr="00E41293" w:rsidRDefault="00E41293" w:rsidP="00CE02BF">
      <w:pPr>
        <w:numPr>
          <w:ilvl w:val="0"/>
          <w:numId w:val="3"/>
        </w:numPr>
        <w:jc w:val="both"/>
        <w:rPr>
          <w:rFonts w:ascii="Arial" w:hAnsi="Arial" w:cs="Arial"/>
          <w:sz w:val="20"/>
        </w:rPr>
      </w:pPr>
      <w:r w:rsidRPr="00E41293">
        <w:rPr>
          <w:rFonts w:ascii="Arial" w:hAnsi="Arial" w:cs="Arial"/>
          <w:sz w:val="20"/>
          <w:szCs w:val="20"/>
        </w:rPr>
        <w:t>Environmentally friendly extinguishing agent (fluorine-free)</w:t>
      </w:r>
    </w:p>
    <w:p w14:paraId="096567A8" w14:textId="77777777" w:rsidR="00CE02BF" w:rsidRPr="006B5442" w:rsidRDefault="006B5442" w:rsidP="00CE02BF">
      <w:pPr>
        <w:numPr>
          <w:ilvl w:val="0"/>
          <w:numId w:val="3"/>
        </w:numPr>
        <w:jc w:val="both"/>
        <w:rPr>
          <w:rFonts w:ascii="Arial" w:hAnsi="Arial" w:cs="Arial"/>
          <w:sz w:val="20"/>
        </w:rPr>
      </w:pPr>
      <w:r w:rsidRPr="006B5442">
        <w:rPr>
          <w:rFonts w:ascii="Arial" w:hAnsi="Arial" w:cs="Arial"/>
          <w:sz w:val="20"/>
          <w:szCs w:val="20"/>
        </w:rPr>
        <w:t>Corrosion-resistant extinguishing agent tray (removable)</w:t>
      </w:r>
    </w:p>
    <w:p w14:paraId="124642BE" w14:textId="77777777" w:rsidR="00CE02BF" w:rsidRPr="006B5442" w:rsidRDefault="006B5442" w:rsidP="00CE02BF">
      <w:pPr>
        <w:numPr>
          <w:ilvl w:val="0"/>
          <w:numId w:val="3"/>
        </w:numPr>
        <w:jc w:val="both"/>
        <w:rPr>
          <w:rFonts w:ascii="Arial" w:hAnsi="Arial" w:cs="Arial"/>
          <w:sz w:val="20"/>
        </w:rPr>
      </w:pPr>
      <w:r w:rsidRPr="006B5442">
        <w:rPr>
          <w:rFonts w:ascii="Arial" w:hAnsi="Arial" w:cs="Arial"/>
          <w:sz w:val="20"/>
          <w:szCs w:val="20"/>
        </w:rPr>
        <w:t xml:space="preserve">Ventilation system for heat dissipation during the loading process, self-closing in </w:t>
      </w:r>
      <w:r>
        <w:rPr>
          <w:rFonts w:ascii="Arial" w:hAnsi="Arial" w:cs="Arial"/>
          <w:sz w:val="20"/>
          <w:szCs w:val="20"/>
        </w:rPr>
        <w:t>the event</w:t>
      </w:r>
      <w:r w:rsidRPr="006B5442">
        <w:rPr>
          <w:rFonts w:ascii="Arial" w:hAnsi="Arial" w:cs="Arial"/>
          <w:sz w:val="20"/>
          <w:szCs w:val="20"/>
        </w:rPr>
        <w:t xml:space="preserve"> of fire</w:t>
      </w:r>
    </w:p>
    <w:p w14:paraId="2C7B3B08" w14:textId="77777777" w:rsidR="00B551F2" w:rsidRPr="006B5442" w:rsidRDefault="006B5442" w:rsidP="00B551F2">
      <w:pPr>
        <w:numPr>
          <w:ilvl w:val="0"/>
          <w:numId w:val="3"/>
        </w:numPr>
        <w:jc w:val="both"/>
        <w:rPr>
          <w:rFonts w:ascii="Arial" w:hAnsi="Arial" w:cs="Arial"/>
          <w:sz w:val="20"/>
        </w:rPr>
      </w:pPr>
      <w:r>
        <w:rPr>
          <w:rFonts w:ascii="Arial" w:hAnsi="Arial" w:cs="Arial"/>
          <w:sz w:val="20"/>
        </w:rPr>
        <w:t>Flash protection</w:t>
      </w:r>
    </w:p>
    <w:p w14:paraId="0E946ABD" w14:textId="77777777" w:rsidR="00A86EF1" w:rsidRPr="006B5442" w:rsidRDefault="006B5442" w:rsidP="00A86EF1">
      <w:pPr>
        <w:numPr>
          <w:ilvl w:val="0"/>
          <w:numId w:val="3"/>
        </w:numPr>
        <w:jc w:val="both"/>
        <w:rPr>
          <w:rFonts w:ascii="Arial" w:hAnsi="Arial" w:cs="Arial"/>
          <w:sz w:val="20"/>
        </w:rPr>
      </w:pPr>
      <w:r w:rsidRPr="006B5442">
        <w:rPr>
          <w:rFonts w:ascii="Arial" w:hAnsi="Arial" w:cs="Arial"/>
          <w:sz w:val="20"/>
        </w:rPr>
        <w:t>Fireproof with all-round seal to prevent leakage of smoke</w:t>
      </w:r>
    </w:p>
    <w:p w14:paraId="6ECF9D6A" w14:textId="77777777" w:rsidR="00CE6D41" w:rsidRPr="006B5442" w:rsidRDefault="006B5442" w:rsidP="00A86EF1">
      <w:pPr>
        <w:numPr>
          <w:ilvl w:val="0"/>
          <w:numId w:val="3"/>
        </w:numPr>
        <w:jc w:val="both"/>
        <w:rPr>
          <w:rFonts w:ascii="Arial" w:hAnsi="Arial" w:cs="Arial"/>
          <w:sz w:val="20"/>
        </w:rPr>
      </w:pPr>
      <w:r w:rsidRPr="006B5442">
        <w:rPr>
          <w:rFonts w:ascii="Arial" w:hAnsi="Arial" w:cs="Arial"/>
          <w:sz w:val="20"/>
        </w:rPr>
        <w:t>Tested in the event of fire with extinguishing system, ventilation system and integrated cable bulkhead</w:t>
      </w:r>
    </w:p>
    <w:p w14:paraId="2DD6D3A9" w14:textId="77777777" w:rsidR="00DA3048" w:rsidRPr="006B5442" w:rsidRDefault="006B5442">
      <w:pPr>
        <w:numPr>
          <w:ilvl w:val="0"/>
          <w:numId w:val="3"/>
        </w:numPr>
        <w:jc w:val="both"/>
        <w:rPr>
          <w:rFonts w:ascii="Arial" w:hAnsi="Arial" w:cs="Arial"/>
          <w:sz w:val="20"/>
        </w:rPr>
      </w:pPr>
      <w:r w:rsidRPr="006B5442">
        <w:rPr>
          <w:rFonts w:ascii="Arial" w:hAnsi="Arial" w:cs="Arial"/>
          <w:sz w:val="20"/>
        </w:rPr>
        <w:t>3-point socket for charging the batteries incl. switch-off function when the critical temperature is reached</w:t>
      </w:r>
    </w:p>
    <w:p w14:paraId="2582C074" w14:textId="77777777" w:rsidR="00B551F2" w:rsidRPr="006B5442" w:rsidRDefault="006B5442">
      <w:pPr>
        <w:numPr>
          <w:ilvl w:val="0"/>
          <w:numId w:val="3"/>
        </w:numPr>
        <w:jc w:val="both"/>
        <w:rPr>
          <w:rFonts w:ascii="Arial" w:hAnsi="Arial" w:cs="Arial"/>
          <w:sz w:val="20"/>
        </w:rPr>
      </w:pPr>
      <w:r w:rsidRPr="006B5442">
        <w:rPr>
          <w:rFonts w:ascii="Arial" w:hAnsi="Arial" w:cs="Arial"/>
          <w:sz w:val="20"/>
        </w:rPr>
        <w:t>With standard cable entries, e.g.</w:t>
      </w:r>
      <w:r w:rsidR="00B551F2" w:rsidRPr="006B5442">
        <w:rPr>
          <w:rFonts w:ascii="Arial" w:hAnsi="Arial" w:cs="Arial"/>
          <w:sz w:val="20"/>
        </w:rPr>
        <w:t xml:space="preserve"> </w:t>
      </w:r>
      <w:r w:rsidR="00DA3048" w:rsidRPr="006B5442">
        <w:rPr>
          <w:rFonts w:ascii="Arial" w:hAnsi="Arial" w:cs="Arial"/>
          <w:sz w:val="20"/>
        </w:rPr>
        <w:t>1</w:t>
      </w:r>
      <w:r w:rsidR="00B551F2" w:rsidRPr="006B5442">
        <w:rPr>
          <w:rFonts w:ascii="Arial" w:hAnsi="Arial" w:cs="Arial"/>
          <w:sz w:val="20"/>
        </w:rPr>
        <w:t xml:space="preserve"> x 40 mm </w:t>
      </w:r>
      <w:r w:rsidR="00B551F2" w:rsidRPr="006B5442">
        <w:rPr>
          <w:rFonts w:ascii="Arial" w:hAnsi="Arial" w:cs="Arial"/>
          <w:sz w:val="20"/>
        </w:rPr>
        <w:sym w:font="Symbol" w:char="F0C6"/>
      </w:r>
      <w:r w:rsidR="00B551F2" w:rsidRPr="006B5442">
        <w:rPr>
          <w:rFonts w:ascii="Arial" w:hAnsi="Arial" w:cs="Arial"/>
          <w:sz w:val="20"/>
        </w:rPr>
        <w:t xml:space="preserve">, </w:t>
      </w:r>
      <w:r w:rsidR="00DA3048" w:rsidRPr="006B5442">
        <w:rPr>
          <w:rFonts w:ascii="Arial" w:hAnsi="Arial" w:cs="Arial"/>
          <w:sz w:val="20"/>
        </w:rPr>
        <w:t>8</w:t>
      </w:r>
      <w:r w:rsidR="00B551F2" w:rsidRPr="006B5442">
        <w:rPr>
          <w:rFonts w:ascii="Arial" w:hAnsi="Arial" w:cs="Arial"/>
          <w:sz w:val="20"/>
        </w:rPr>
        <w:t xml:space="preserve"> x 18 mm </w:t>
      </w:r>
      <w:r w:rsidR="00B551F2" w:rsidRPr="006B5442">
        <w:rPr>
          <w:rFonts w:ascii="Arial" w:hAnsi="Arial" w:cs="Arial"/>
          <w:sz w:val="20"/>
        </w:rPr>
        <w:sym w:font="Symbol" w:char="F0C6"/>
      </w:r>
      <w:r w:rsidR="00B551F2" w:rsidRPr="006B5442">
        <w:rPr>
          <w:rFonts w:ascii="Arial" w:hAnsi="Arial" w:cs="Arial"/>
          <w:sz w:val="20"/>
        </w:rPr>
        <w:t xml:space="preserve"> </w:t>
      </w:r>
    </w:p>
    <w:p w14:paraId="241DF59D" w14:textId="77777777" w:rsidR="00977FD9" w:rsidRPr="006B5442" w:rsidRDefault="006B5442">
      <w:pPr>
        <w:pStyle w:val="KeinLeerraum"/>
        <w:numPr>
          <w:ilvl w:val="0"/>
          <w:numId w:val="3"/>
        </w:numPr>
        <w:jc w:val="both"/>
        <w:rPr>
          <w:rFonts w:ascii="Arial" w:hAnsi="Arial" w:cs="Arial"/>
          <w:b/>
          <w:bCs/>
          <w:sz w:val="20"/>
          <w:lang w:val="en-GB"/>
        </w:rPr>
      </w:pPr>
      <w:r w:rsidRPr="006B5442">
        <w:rPr>
          <w:rFonts w:ascii="Arial" w:hAnsi="Arial" w:cs="Arial"/>
          <w:sz w:val="20"/>
          <w:szCs w:val="20"/>
          <w:lang w:val="en-GB"/>
        </w:rPr>
        <w:t xml:space="preserve">Exterior </w:t>
      </w:r>
      <w:proofErr w:type="spellStart"/>
      <w:r w:rsidRPr="006B5442">
        <w:rPr>
          <w:rFonts w:ascii="Arial" w:hAnsi="Arial" w:cs="Arial"/>
          <w:sz w:val="20"/>
          <w:szCs w:val="20"/>
          <w:lang w:val="en-GB"/>
        </w:rPr>
        <w:t>color</w:t>
      </w:r>
      <w:proofErr w:type="spellEnd"/>
      <w:r w:rsidRPr="006B5442">
        <w:rPr>
          <w:rFonts w:ascii="Arial" w:hAnsi="Arial" w:cs="Arial"/>
          <w:sz w:val="20"/>
          <w:szCs w:val="20"/>
          <w:lang w:val="en-GB"/>
        </w:rPr>
        <w:t xml:space="preserve"> light grey, similar to RAL 7035</w:t>
      </w:r>
      <w:r>
        <w:rPr>
          <w:rFonts w:ascii="Arial" w:hAnsi="Arial" w:cs="Arial"/>
          <w:sz w:val="20"/>
          <w:szCs w:val="20"/>
          <w:lang w:val="en-GB"/>
        </w:rPr>
        <w:t xml:space="preserve"> </w:t>
      </w:r>
      <w:r w:rsidR="00851E5F" w:rsidRPr="006B5442">
        <w:rPr>
          <w:rFonts w:ascii="Arial" w:hAnsi="Arial" w:cs="Arial"/>
          <w:sz w:val="20"/>
          <w:szCs w:val="20"/>
          <w:lang w:val="en-GB"/>
        </w:rPr>
        <w:t>/</w:t>
      </w:r>
      <w:r w:rsidRPr="006B5442">
        <w:rPr>
          <w:lang w:val="en-GB"/>
        </w:rPr>
        <w:t xml:space="preserve"> </w:t>
      </w:r>
      <w:r w:rsidRPr="006B5442">
        <w:rPr>
          <w:rFonts w:ascii="Arial" w:hAnsi="Arial" w:cs="Arial"/>
          <w:sz w:val="20"/>
          <w:szCs w:val="20"/>
          <w:lang w:val="en-GB"/>
        </w:rPr>
        <w:t>Outer edges, handle and ventilation gri</w:t>
      </w:r>
      <w:r w:rsidR="007214D3">
        <w:rPr>
          <w:rFonts w:ascii="Arial" w:hAnsi="Arial" w:cs="Arial"/>
          <w:sz w:val="20"/>
          <w:szCs w:val="20"/>
          <w:lang w:val="en-GB"/>
        </w:rPr>
        <w:t>d</w:t>
      </w:r>
      <w:r w:rsidRPr="006B5442">
        <w:rPr>
          <w:rFonts w:ascii="Arial" w:hAnsi="Arial" w:cs="Arial"/>
          <w:sz w:val="20"/>
          <w:szCs w:val="20"/>
          <w:lang w:val="en-GB"/>
        </w:rPr>
        <w:t xml:space="preserve"> ultramarine blue, similar to RAL 5002</w:t>
      </w:r>
    </w:p>
    <w:p w14:paraId="2C6448DA" w14:textId="77777777" w:rsidR="00130807" w:rsidRPr="006B5442" w:rsidRDefault="00130807" w:rsidP="00130807">
      <w:pPr>
        <w:jc w:val="both"/>
        <w:rPr>
          <w:rFonts w:ascii="Arial" w:hAnsi="Arial" w:cs="Arial"/>
          <w:sz w:val="20"/>
          <w:szCs w:val="20"/>
        </w:rPr>
      </w:pPr>
    </w:p>
    <w:p w14:paraId="1E4B8B3E" w14:textId="77777777" w:rsidR="00CE6D41" w:rsidRPr="00AE0245" w:rsidRDefault="00CE6D41">
      <w:pPr>
        <w:jc w:val="both"/>
        <w:rPr>
          <w:rFonts w:ascii="Arial" w:hAnsi="Arial" w:cs="Arial"/>
          <w:b/>
          <w:bCs/>
          <w:sz w:val="20"/>
        </w:rPr>
      </w:pPr>
      <w:r w:rsidRPr="00AE0245">
        <w:rPr>
          <w:rFonts w:ascii="Arial" w:hAnsi="Arial" w:cs="Arial"/>
          <w:b/>
          <w:bCs/>
          <w:sz w:val="20"/>
        </w:rPr>
        <w:t>Material</w:t>
      </w:r>
    </w:p>
    <w:p w14:paraId="53299E44" w14:textId="77777777" w:rsidR="00E56930" w:rsidRPr="00AE0245" w:rsidRDefault="00E56930">
      <w:pPr>
        <w:jc w:val="both"/>
        <w:rPr>
          <w:rFonts w:ascii="Arial" w:hAnsi="Arial" w:cs="Arial"/>
          <w:b/>
          <w:bCs/>
          <w:sz w:val="20"/>
        </w:rPr>
      </w:pPr>
    </w:p>
    <w:p w14:paraId="7EA9813F" w14:textId="77777777" w:rsidR="00220321" w:rsidRPr="000C1D9A" w:rsidRDefault="000C1D9A" w:rsidP="00220321">
      <w:pPr>
        <w:pStyle w:val="Listenabsatz"/>
        <w:numPr>
          <w:ilvl w:val="0"/>
          <w:numId w:val="5"/>
        </w:numPr>
        <w:spacing w:after="0" w:line="240" w:lineRule="auto"/>
        <w:ind w:left="714" w:hanging="357"/>
        <w:rPr>
          <w:rFonts w:ascii="Arial" w:hAnsi="Arial" w:cs="Arial"/>
          <w:sz w:val="20"/>
          <w:szCs w:val="20"/>
        </w:rPr>
      </w:pPr>
      <w:r w:rsidRPr="000C1D9A">
        <w:rPr>
          <w:rFonts w:ascii="Arial" w:hAnsi="Arial" w:cs="Arial"/>
          <w:sz w:val="20"/>
          <w:szCs w:val="20"/>
        </w:rPr>
        <w:t xml:space="preserve">Basic fire protection </w:t>
      </w:r>
      <w:r w:rsidR="00251B93">
        <w:rPr>
          <w:rFonts w:ascii="Arial" w:hAnsi="Arial" w:cs="Arial"/>
          <w:sz w:val="20"/>
          <w:szCs w:val="20"/>
        </w:rPr>
        <w:t>panels</w:t>
      </w:r>
      <w:r w:rsidRPr="000C1D9A">
        <w:rPr>
          <w:rFonts w:ascii="Arial" w:hAnsi="Arial" w:cs="Arial"/>
          <w:sz w:val="20"/>
          <w:szCs w:val="20"/>
        </w:rPr>
        <w:t xml:space="preserve"> non-flammable</w:t>
      </w:r>
    </w:p>
    <w:p w14:paraId="47D05954" w14:textId="77777777" w:rsidR="000C1D9A" w:rsidRPr="005337AB" w:rsidRDefault="000C1D9A" w:rsidP="000C1D9A">
      <w:pPr>
        <w:pStyle w:val="KeinLeerraum"/>
        <w:numPr>
          <w:ilvl w:val="0"/>
          <w:numId w:val="8"/>
        </w:numPr>
        <w:jc w:val="both"/>
        <w:rPr>
          <w:rFonts w:ascii="Arial" w:hAnsi="Arial" w:cs="Arial"/>
          <w:sz w:val="20"/>
          <w:szCs w:val="20"/>
          <w:lang w:val="en-GB"/>
        </w:rPr>
      </w:pPr>
      <w:r w:rsidRPr="005337AB">
        <w:rPr>
          <w:rFonts w:ascii="Arial" w:hAnsi="Arial" w:cs="Arial"/>
          <w:sz w:val="20"/>
          <w:szCs w:val="20"/>
          <w:lang w:val="en-GB"/>
        </w:rPr>
        <w:t xml:space="preserve">coated fire protection </w:t>
      </w:r>
      <w:r w:rsidR="00251B93">
        <w:rPr>
          <w:rFonts w:ascii="Arial" w:hAnsi="Arial" w:cs="Arial"/>
          <w:sz w:val="20"/>
          <w:szCs w:val="20"/>
          <w:lang w:val="en-GB"/>
        </w:rPr>
        <w:t>panels</w:t>
      </w:r>
      <w:r w:rsidRPr="005337AB">
        <w:rPr>
          <w:rFonts w:ascii="Arial" w:hAnsi="Arial" w:cs="Arial"/>
          <w:sz w:val="20"/>
          <w:szCs w:val="20"/>
          <w:lang w:val="en-GB"/>
        </w:rPr>
        <w:t xml:space="preserve"> meet the requirements of DIN EN 438-2, e.g. abrasion resistance, impact resistance, scratch resistance, etc. ... </w:t>
      </w:r>
    </w:p>
    <w:p w14:paraId="1EFFC6B5" w14:textId="77777777" w:rsidR="00220321" w:rsidRPr="00251B93" w:rsidRDefault="00251B93" w:rsidP="00251B93">
      <w:pPr>
        <w:pStyle w:val="KeinLeerraum"/>
        <w:numPr>
          <w:ilvl w:val="0"/>
          <w:numId w:val="8"/>
        </w:numPr>
        <w:jc w:val="both"/>
        <w:rPr>
          <w:rFonts w:ascii="Arial" w:hAnsi="Arial" w:cs="Arial"/>
          <w:sz w:val="20"/>
          <w:szCs w:val="20"/>
          <w:lang w:val="en-GB"/>
        </w:rPr>
      </w:pPr>
      <w:r w:rsidRPr="005337AB">
        <w:rPr>
          <w:rFonts w:ascii="Arial" w:hAnsi="Arial" w:cs="Arial"/>
          <w:sz w:val="20"/>
          <w:szCs w:val="20"/>
          <w:lang w:val="en-GB"/>
        </w:rPr>
        <w:t>Multi-layer, patented wall construction made of non-flammable building materials, with endothermic middle layers to keep the temperature low even in the event of fire</w:t>
      </w:r>
    </w:p>
    <w:p w14:paraId="5576C367" w14:textId="77777777" w:rsidR="00251B93" w:rsidRPr="005337AB" w:rsidRDefault="00251B93" w:rsidP="00251B93">
      <w:pPr>
        <w:pStyle w:val="KeinLeerraum"/>
        <w:numPr>
          <w:ilvl w:val="0"/>
          <w:numId w:val="8"/>
        </w:numPr>
        <w:jc w:val="both"/>
        <w:rPr>
          <w:rFonts w:ascii="Arial" w:hAnsi="Arial" w:cs="Arial"/>
          <w:sz w:val="20"/>
          <w:szCs w:val="20"/>
          <w:lang w:val="en-GB"/>
        </w:rPr>
      </w:pPr>
      <w:r w:rsidRPr="005337AB">
        <w:rPr>
          <w:rFonts w:ascii="Arial" w:hAnsi="Arial" w:cs="Arial"/>
          <w:sz w:val="20"/>
          <w:szCs w:val="20"/>
          <w:lang w:val="en-GB"/>
        </w:rPr>
        <w:t>Surface: high-quality coated basic fire protection panels with high impact and shock resistance as well as chemical resistance</w:t>
      </w:r>
    </w:p>
    <w:p w14:paraId="4833225B" w14:textId="77777777" w:rsidR="00F548DB" w:rsidRPr="00251B93" w:rsidRDefault="00251B93" w:rsidP="00251B93">
      <w:pPr>
        <w:pStyle w:val="KeinLeerraum"/>
        <w:numPr>
          <w:ilvl w:val="0"/>
          <w:numId w:val="8"/>
        </w:numPr>
        <w:jc w:val="both"/>
        <w:rPr>
          <w:rFonts w:ascii="Arial" w:hAnsi="Arial" w:cs="Arial"/>
          <w:sz w:val="20"/>
          <w:szCs w:val="20"/>
          <w:lang w:val="en-GB"/>
        </w:rPr>
      </w:pPr>
      <w:r w:rsidRPr="005337AB">
        <w:rPr>
          <w:rFonts w:ascii="Arial" w:hAnsi="Arial" w:cs="Arial"/>
          <w:sz w:val="20"/>
          <w:szCs w:val="20"/>
          <w:lang w:val="en-GB"/>
        </w:rPr>
        <w:t xml:space="preserve">The standard surface coating is ≤ 0.5 mm and therefore </w:t>
      </w:r>
      <w:proofErr w:type="spellStart"/>
      <w:r w:rsidRPr="005337AB">
        <w:rPr>
          <w:rFonts w:ascii="Arial" w:hAnsi="Arial" w:cs="Arial"/>
          <w:sz w:val="20"/>
          <w:szCs w:val="20"/>
          <w:lang w:val="en-GB"/>
        </w:rPr>
        <w:t>fulfills</w:t>
      </w:r>
      <w:proofErr w:type="spellEnd"/>
      <w:r w:rsidRPr="005337AB">
        <w:rPr>
          <w:rFonts w:ascii="Arial" w:hAnsi="Arial" w:cs="Arial"/>
          <w:sz w:val="20"/>
          <w:szCs w:val="20"/>
          <w:lang w:val="en-GB"/>
        </w:rPr>
        <w:t xml:space="preserve"> the instructions in the MVVTB that coatings up to 0.5 mm layer thickness do not affect the assessment of the building material class.</w:t>
      </w:r>
    </w:p>
    <w:p w14:paraId="6CB9D206" w14:textId="77777777" w:rsidR="00675798" w:rsidRPr="00251B93" w:rsidRDefault="00675798" w:rsidP="00675798">
      <w:pPr>
        <w:ind w:left="720"/>
        <w:jc w:val="both"/>
        <w:rPr>
          <w:rFonts w:ascii="Arial" w:hAnsi="Arial" w:cs="Arial"/>
          <w:sz w:val="20"/>
        </w:rPr>
      </w:pPr>
    </w:p>
    <w:p w14:paraId="2FBB2FA2" w14:textId="77777777" w:rsidR="00675798" w:rsidRPr="00251B93" w:rsidRDefault="00675798" w:rsidP="00675798">
      <w:pPr>
        <w:ind w:left="720"/>
        <w:jc w:val="both"/>
        <w:rPr>
          <w:rFonts w:ascii="Arial" w:hAnsi="Arial" w:cs="Arial"/>
          <w:sz w:val="20"/>
        </w:rPr>
      </w:pPr>
    </w:p>
    <w:p w14:paraId="3B1F32A4" w14:textId="77777777" w:rsidR="000C1D9A" w:rsidRPr="00251B93" w:rsidRDefault="000C1D9A" w:rsidP="00675798">
      <w:pPr>
        <w:ind w:left="720"/>
        <w:jc w:val="both"/>
        <w:rPr>
          <w:rFonts w:ascii="Arial" w:hAnsi="Arial" w:cs="Arial"/>
          <w:sz w:val="20"/>
        </w:rPr>
      </w:pPr>
    </w:p>
    <w:p w14:paraId="36E6A0C9" w14:textId="77777777" w:rsidR="00CE6D41" w:rsidRPr="00251B93" w:rsidRDefault="00CE6D41">
      <w:pPr>
        <w:jc w:val="both"/>
        <w:rPr>
          <w:rFonts w:ascii="Arial" w:hAnsi="Arial" w:cs="Arial"/>
          <w:b/>
          <w:bCs/>
          <w:sz w:val="20"/>
        </w:rPr>
      </w:pPr>
    </w:p>
    <w:p w14:paraId="48B30561" w14:textId="77777777" w:rsidR="00CE6D41" w:rsidRPr="00AE0245" w:rsidRDefault="00CE6D41">
      <w:pPr>
        <w:jc w:val="both"/>
        <w:rPr>
          <w:rFonts w:ascii="Arial" w:hAnsi="Arial" w:cs="Arial"/>
          <w:b/>
          <w:bCs/>
          <w:sz w:val="20"/>
        </w:rPr>
      </w:pPr>
      <w:r w:rsidRPr="00AE0245">
        <w:rPr>
          <w:rFonts w:ascii="Arial" w:hAnsi="Arial" w:cs="Arial"/>
          <w:b/>
          <w:bCs/>
          <w:sz w:val="20"/>
        </w:rPr>
        <w:lastRenderedPageBreak/>
        <w:t>Option</w:t>
      </w:r>
      <w:r w:rsidR="00AE0245">
        <w:rPr>
          <w:rFonts w:ascii="Arial" w:hAnsi="Arial" w:cs="Arial"/>
          <w:b/>
          <w:bCs/>
          <w:sz w:val="20"/>
        </w:rPr>
        <w:t>s</w:t>
      </w:r>
    </w:p>
    <w:p w14:paraId="16E22339" w14:textId="77777777" w:rsidR="00054CF2" w:rsidRPr="00AE0245" w:rsidRDefault="00054CF2">
      <w:pPr>
        <w:jc w:val="both"/>
        <w:rPr>
          <w:rFonts w:ascii="Arial" w:hAnsi="Arial" w:cs="Arial"/>
          <w:b/>
          <w:bCs/>
          <w:sz w:val="20"/>
        </w:rPr>
      </w:pPr>
    </w:p>
    <w:p w14:paraId="7C6DF208" w14:textId="77777777" w:rsidR="00054CF2" w:rsidRPr="00B44844" w:rsidRDefault="00B44844">
      <w:pPr>
        <w:numPr>
          <w:ilvl w:val="0"/>
          <w:numId w:val="2"/>
        </w:numPr>
        <w:jc w:val="both"/>
        <w:rPr>
          <w:rFonts w:ascii="Arial" w:hAnsi="Arial" w:cs="Arial"/>
          <w:sz w:val="20"/>
        </w:rPr>
      </w:pPr>
      <w:r>
        <w:rPr>
          <w:rFonts w:ascii="Arial" w:hAnsi="Arial" w:cs="Arial"/>
          <w:sz w:val="20"/>
        </w:rPr>
        <w:t>Door hinge on the left</w:t>
      </w:r>
    </w:p>
    <w:p w14:paraId="20EB232E" w14:textId="77777777" w:rsidR="00054CF2" w:rsidRPr="00B44844" w:rsidRDefault="00054CF2">
      <w:pPr>
        <w:numPr>
          <w:ilvl w:val="0"/>
          <w:numId w:val="2"/>
        </w:numPr>
        <w:jc w:val="both"/>
        <w:rPr>
          <w:rFonts w:ascii="Arial" w:hAnsi="Arial" w:cs="Arial"/>
          <w:sz w:val="20"/>
        </w:rPr>
      </w:pPr>
      <w:r w:rsidRPr="00B44844">
        <w:rPr>
          <w:rFonts w:ascii="Arial" w:hAnsi="Arial" w:cs="Arial"/>
          <w:sz w:val="20"/>
        </w:rPr>
        <w:t>W</w:t>
      </w:r>
      <w:r w:rsidR="00B44844">
        <w:rPr>
          <w:rFonts w:ascii="Arial" w:hAnsi="Arial" w:cs="Arial"/>
          <w:sz w:val="20"/>
        </w:rPr>
        <w:t>all mounting</w:t>
      </w:r>
    </w:p>
    <w:p w14:paraId="77B1625E" w14:textId="77777777" w:rsidR="00B44844" w:rsidRPr="00580C38" w:rsidRDefault="00B44844" w:rsidP="00B44844">
      <w:pPr>
        <w:pStyle w:val="KeinLeerraum"/>
        <w:numPr>
          <w:ilvl w:val="0"/>
          <w:numId w:val="3"/>
        </w:numPr>
        <w:rPr>
          <w:rFonts w:ascii="Arial" w:hAnsi="Arial" w:cs="Arial"/>
          <w:sz w:val="20"/>
          <w:szCs w:val="20"/>
          <w:lang w:val="en-GB"/>
        </w:rPr>
      </w:pPr>
      <w:r w:rsidRPr="00580C38">
        <w:rPr>
          <w:rFonts w:ascii="Arial" w:hAnsi="Arial" w:cs="Arial"/>
          <w:sz w:val="20"/>
          <w:szCs w:val="20"/>
          <w:lang w:val="en-GB"/>
        </w:rPr>
        <w:t xml:space="preserve">Special </w:t>
      </w:r>
      <w:proofErr w:type="spellStart"/>
      <w:r w:rsidRPr="00580C38">
        <w:rPr>
          <w:rFonts w:ascii="Arial" w:hAnsi="Arial" w:cs="Arial"/>
          <w:sz w:val="20"/>
          <w:szCs w:val="20"/>
          <w:lang w:val="en-GB"/>
        </w:rPr>
        <w:t>colors</w:t>
      </w:r>
      <w:proofErr w:type="spellEnd"/>
      <w:r w:rsidRPr="00580C38">
        <w:rPr>
          <w:rFonts w:ascii="Arial" w:hAnsi="Arial" w:cs="Arial"/>
          <w:sz w:val="20"/>
          <w:szCs w:val="20"/>
          <w:lang w:val="en-GB"/>
        </w:rPr>
        <w:t xml:space="preserve"> and special coatings </w:t>
      </w:r>
    </w:p>
    <w:p w14:paraId="6B179500" w14:textId="77777777" w:rsidR="00CE6D41" w:rsidRPr="00B44844" w:rsidRDefault="00B44844">
      <w:pPr>
        <w:numPr>
          <w:ilvl w:val="0"/>
          <w:numId w:val="2"/>
        </w:numPr>
        <w:jc w:val="both"/>
        <w:rPr>
          <w:rFonts w:ascii="Arial" w:hAnsi="Arial" w:cs="Arial"/>
          <w:sz w:val="20"/>
        </w:rPr>
      </w:pPr>
      <w:r w:rsidRPr="00B44844">
        <w:rPr>
          <w:rFonts w:ascii="Arial" w:hAnsi="Arial" w:cs="Arial"/>
          <w:sz w:val="20"/>
        </w:rPr>
        <w:t>Positioning of cable entry</w:t>
      </w:r>
    </w:p>
    <w:p w14:paraId="02BC0DBA" w14:textId="77777777" w:rsidR="00C818A9" w:rsidRPr="00820868" w:rsidRDefault="00820868">
      <w:pPr>
        <w:numPr>
          <w:ilvl w:val="0"/>
          <w:numId w:val="2"/>
        </w:numPr>
        <w:jc w:val="both"/>
        <w:rPr>
          <w:rFonts w:ascii="Arial" w:hAnsi="Arial" w:cs="Arial"/>
          <w:sz w:val="20"/>
        </w:rPr>
      </w:pPr>
      <w:r w:rsidRPr="00820868">
        <w:rPr>
          <w:rFonts w:ascii="Arial" w:hAnsi="Arial" w:cs="Arial"/>
          <w:sz w:val="20"/>
        </w:rPr>
        <w:t>Smoke detector in accordance with EN 54-7 for 2-way early detection of a thermal runaway</w:t>
      </w:r>
    </w:p>
    <w:p w14:paraId="03673B44" w14:textId="77777777" w:rsidR="00C818A9" w:rsidRPr="00820868" w:rsidRDefault="00820868">
      <w:pPr>
        <w:numPr>
          <w:ilvl w:val="0"/>
          <w:numId w:val="2"/>
        </w:numPr>
        <w:jc w:val="both"/>
        <w:rPr>
          <w:rFonts w:ascii="Arial" w:hAnsi="Arial" w:cs="Arial"/>
          <w:sz w:val="20"/>
        </w:rPr>
      </w:pPr>
      <w:r w:rsidRPr="00820868">
        <w:rPr>
          <w:rFonts w:ascii="Arial" w:hAnsi="Arial" w:cs="Arial"/>
          <w:sz w:val="20"/>
        </w:rPr>
        <w:t xml:space="preserve">Potential-free </w:t>
      </w:r>
      <w:proofErr w:type="spellStart"/>
      <w:r w:rsidRPr="00820868">
        <w:rPr>
          <w:rFonts w:ascii="Arial" w:hAnsi="Arial" w:cs="Arial"/>
          <w:sz w:val="20"/>
        </w:rPr>
        <w:t>signaling</w:t>
      </w:r>
      <w:proofErr w:type="spellEnd"/>
      <w:r w:rsidRPr="00820868">
        <w:rPr>
          <w:rFonts w:ascii="Arial" w:hAnsi="Arial" w:cs="Arial"/>
          <w:sz w:val="20"/>
        </w:rPr>
        <w:t xml:space="preserve"> contact for </w:t>
      </w:r>
      <w:r>
        <w:rPr>
          <w:rFonts w:ascii="Arial" w:hAnsi="Arial" w:cs="Arial"/>
          <w:sz w:val="20"/>
        </w:rPr>
        <w:t>f</w:t>
      </w:r>
      <w:r w:rsidRPr="00820868">
        <w:rPr>
          <w:rFonts w:ascii="Arial" w:hAnsi="Arial" w:cs="Arial"/>
          <w:sz w:val="20"/>
        </w:rPr>
        <w:t xml:space="preserve">ire alarm control panel, higher-level control </w:t>
      </w:r>
      <w:proofErr w:type="spellStart"/>
      <w:r w:rsidRPr="00820868">
        <w:rPr>
          <w:rFonts w:ascii="Arial" w:hAnsi="Arial" w:cs="Arial"/>
          <w:sz w:val="20"/>
        </w:rPr>
        <w:t>center</w:t>
      </w:r>
      <w:proofErr w:type="spellEnd"/>
      <w:r w:rsidRPr="00820868">
        <w:rPr>
          <w:rFonts w:ascii="Arial" w:hAnsi="Arial" w:cs="Arial"/>
          <w:sz w:val="20"/>
        </w:rPr>
        <w:t>, etc.</w:t>
      </w:r>
    </w:p>
    <w:p w14:paraId="2A595701" w14:textId="77777777" w:rsidR="00EF534E" w:rsidRPr="00820868" w:rsidRDefault="00820868" w:rsidP="00EF534E">
      <w:pPr>
        <w:numPr>
          <w:ilvl w:val="0"/>
          <w:numId w:val="2"/>
        </w:numPr>
        <w:jc w:val="both"/>
        <w:rPr>
          <w:rFonts w:ascii="Arial" w:hAnsi="Arial" w:cs="Arial"/>
          <w:b/>
          <w:bCs/>
          <w:sz w:val="20"/>
        </w:rPr>
      </w:pPr>
      <w:r w:rsidRPr="00820868">
        <w:rPr>
          <w:rFonts w:ascii="Arial" w:hAnsi="Arial" w:cs="Arial"/>
          <w:sz w:val="20"/>
        </w:rPr>
        <w:t>External temperature monitoring for thermal runaway protection in the event of a fire from outside</w:t>
      </w:r>
    </w:p>
    <w:p w14:paraId="406B8DC8" w14:textId="77777777" w:rsidR="00C818A9" w:rsidRPr="00820868" w:rsidRDefault="00820868">
      <w:pPr>
        <w:numPr>
          <w:ilvl w:val="0"/>
          <w:numId w:val="2"/>
        </w:numPr>
        <w:jc w:val="both"/>
        <w:rPr>
          <w:rFonts w:ascii="Arial" w:hAnsi="Arial" w:cs="Arial"/>
          <w:sz w:val="20"/>
        </w:rPr>
      </w:pPr>
      <w:r w:rsidRPr="00820868">
        <w:rPr>
          <w:rFonts w:ascii="Arial" w:hAnsi="Arial" w:cs="Arial"/>
          <w:sz w:val="20"/>
        </w:rPr>
        <w:t>Tablet holder incl. USB charger for up to 15 tablets</w:t>
      </w:r>
    </w:p>
    <w:p w14:paraId="792B06BC" w14:textId="77777777" w:rsidR="00675798" w:rsidRPr="00820868" w:rsidRDefault="00820868">
      <w:pPr>
        <w:numPr>
          <w:ilvl w:val="0"/>
          <w:numId w:val="2"/>
        </w:numPr>
        <w:jc w:val="both"/>
        <w:rPr>
          <w:rFonts w:ascii="Arial" w:hAnsi="Arial" w:cs="Arial"/>
          <w:sz w:val="20"/>
        </w:rPr>
      </w:pPr>
      <w:r w:rsidRPr="00820868">
        <w:rPr>
          <w:rFonts w:ascii="Arial" w:hAnsi="Arial" w:cs="Arial"/>
          <w:sz w:val="20"/>
        </w:rPr>
        <w:t>Modular line-up/stacking (e.g. line-up 3x2</w:t>
      </w:r>
      <w:r>
        <w:rPr>
          <w:rFonts w:ascii="Arial" w:hAnsi="Arial" w:cs="Arial"/>
          <w:sz w:val="20"/>
        </w:rPr>
        <w:t xml:space="preserve"> </w:t>
      </w:r>
      <w:r w:rsidR="00D60E5E" w:rsidRPr="00820868">
        <w:rPr>
          <w:rFonts w:ascii="Arial" w:hAnsi="Arial" w:cs="Arial"/>
          <w:sz w:val="20"/>
        </w:rPr>
        <w:sym w:font="Wingdings" w:char="F0E0"/>
      </w:r>
      <w:r w:rsidR="004C1E82" w:rsidRPr="00820868">
        <w:rPr>
          <w:rFonts w:ascii="Arial" w:hAnsi="Arial" w:cs="Arial"/>
          <w:sz w:val="20"/>
        </w:rPr>
        <w:t xml:space="preserve"> </w:t>
      </w:r>
      <w:r w:rsidRPr="00820868">
        <w:rPr>
          <w:rFonts w:ascii="Arial" w:hAnsi="Arial" w:cs="Arial"/>
          <w:sz w:val="20"/>
        </w:rPr>
        <w:t>approx. 20 kW charging power possible)</w:t>
      </w:r>
    </w:p>
    <w:p w14:paraId="02AE50FD" w14:textId="77777777" w:rsidR="00C818A9" w:rsidRPr="00AE0245" w:rsidRDefault="00C818A9" w:rsidP="00675798">
      <w:pPr>
        <w:ind w:left="720"/>
        <w:jc w:val="both"/>
        <w:rPr>
          <w:rFonts w:ascii="Arial" w:hAnsi="Arial" w:cs="Arial"/>
          <w:sz w:val="20"/>
        </w:rPr>
      </w:pPr>
    </w:p>
    <w:p w14:paraId="7465A298" w14:textId="77777777" w:rsidR="00A13692" w:rsidRPr="00AE0245" w:rsidRDefault="00A13692" w:rsidP="00A13692">
      <w:pPr>
        <w:ind w:left="720"/>
        <w:jc w:val="both"/>
        <w:rPr>
          <w:rFonts w:ascii="Arial" w:hAnsi="Arial" w:cs="Arial"/>
          <w:sz w:val="20"/>
        </w:rPr>
      </w:pPr>
    </w:p>
    <w:p w14:paraId="7A1B9342" w14:textId="77777777" w:rsidR="00AE0245" w:rsidRPr="00580C38" w:rsidRDefault="00AE0245" w:rsidP="00AE0245">
      <w:pPr>
        <w:pStyle w:val="KeinLeerraum"/>
        <w:rPr>
          <w:rFonts w:ascii="Arial" w:hAnsi="Arial" w:cs="Arial"/>
          <w:b/>
          <w:bCs/>
          <w:sz w:val="20"/>
          <w:szCs w:val="20"/>
          <w:lang w:val="en-GB"/>
        </w:rPr>
      </w:pPr>
      <w:r w:rsidRPr="00580C38">
        <w:rPr>
          <w:rFonts w:ascii="Arial" w:hAnsi="Arial" w:cs="Arial"/>
          <w:b/>
          <w:bCs/>
          <w:sz w:val="20"/>
          <w:szCs w:val="20"/>
          <w:lang w:val="en-GB"/>
        </w:rPr>
        <w:t xml:space="preserve">Installation and assembly </w:t>
      </w:r>
    </w:p>
    <w:p w14:paraId="0EED4D6E" w14:textId="77777777" w:rsidR="00CE6D41" w:rsidRPr="00AE0245" w:rsidRDefault="00CE6D41">
      <w:pPr>
        <w:jc w:val="both"/>
        <w:rPr>
          <w:rFonts w:ascii="Arial" w:hAnsi="Arial" w:cs="Arial"/>
          <w:b/>
          <w:bCs/>
          <w:sz w:val="20"/>
        </w:rPr>
      </w:pPr>
    </w:p>
    <w:p w14:paraId="40C03194" w14:textId="77777777" w:rsidR="00130807" w:rsidRPr="00820868" w:rsidRDefault="00AB7BF3" w:rsidP="0054798F">
      <w:pPr>
        <w:numPr>
          <w:ilvl w:val="0"/>
          <w:numId w:val="2"/>
        </w:numPr>
        <w:jc w:val="both"/>
        <w:rPr>
          <w:rFonts w:ascii="Arial" w:hAnsi="Arial" w:cs="Arial"/>
          <w:sz w:val="20"/>
        </w:rPr>
      </w:pPr>
      <w:bookmarkStart w:id="0" w:name="_Hlk158707421"/>
      <w:r>
        <w:rPr>
          <w:rFonts w:ascii="Arial" w:hAnsi="Arial" w:cs="Arial"/>
          <w:sz w:val="20"/>
        </w:rPr>
        <w:t>High-quality o</w:t>
      </w:r>
      <w:r w:rsidR="00820868" w:rsidRPr="00820868">
        <w:rPr>
          <w:rFonts w:ascii="Arial" w:hAnsi="Arial" w:cs="Arial"/>
          <w:sz w:val="20"/>
        </w:rPr>
        <w:t>perating instructions with information on installation, initial operation, intended use and maintenance with enclosed documentation for the safety enclosure.</w:t>
      </w:r>
    </w:p>
    <w:bookmarkEnd w:id="0"/>
    <w:p w14:paraId="283AD295" w14:textId="77777777" w:rsidR="0054798F" w:rsidRPr="00AE0245" w:rsidRDefault="0054798F" w:rsidP="0054798F">
      <w:pPr>
        <w:ind w:left="720"/>
        <w:jc w:val="both"/>
        <w:rPr>
          <w:rFonts w:ascii="Arial" w:hAnsi="Arial" w:cs="Arial"/>
          <w:sz w:val="20"/>
        </w:rPr>
      </w:pPr>
    </w:p>
    <w:p w14:paraId="73AD7378" w14:textId="77777777" w:rsidR="00CE6D41" w:rsidRPr="00AE0245" w:rsidRDefault="00AE0245">
      <w:pPr>
        <w:jc w:val="both"/>
        <w:rPr>
          <w:rFonts w:ascii="Arial" w:hAnsi="Arial" w:cs="Arial"/>
          <w:b/>
          <w:bCs/>
          <w:sz w:val="20"/>
        </w:rPr>
      </w:pPr>
      <w:r>
        <w:rPr>
          <w:rFonts w:ascii="Arial" w:hAnsi="Arial" w:cs="Arial"/>
          <w:b/>
          <w:bCs/>
          <w:sz w:val="20"/>
        </w:rPr>
        <w:t>Product</w:t>
      </w:r>
      <w:r w:rsidR="00CE6D41" w:rsidRPr="00AE0245">
        <w:rPr>
          <w:rFonts w:ascii="Arial" w:hAnsi="Arial" w:cs="Arial"/>
          <w:b/>
          <w:bCs/>
          <w:sz w:val="20"/>
        </w:rPr>
        <w:t xml:space="preserve"> </w:t>
      </w:r>
    </w:p>
    <w:p w14:paraId="6033BE86" w14:textId="77777777" w:rsidR="00F966A3" w:rsidRPr="00AE0245" w:rsidRDefault="00CE6D41" w:rsidP="00F966A3">
      <w:pPr>
        <w:ind w:firstLine="708"/>
        <w:jc w:val="both"/>
        <w:rPr>
          <w:rFonts w:ascii="Arial" w:hAnsi="Arial" w:cs="Arial"/>
          <w:sz w:val="20"/>
        </w:rPr>
      </w:pPr>
      <w:r w:rsidRPr="00AE0245">
        <w:rPr>
          <w:rFonts w:ascii="Arial" w:hAnsi="Arial" w:cs="Arial"/>
          <w:sz w:val="20"/>
        </w:rPr>
        <w:tab/>
      </w:r>
      <w:bookmarkStart w:id="1" w:name="_Hlk158707435"/>
      <w:r w:rsidR="00F966A3" w:rsidRPr="00AE0245">
        <w:rPr>
          <w:rFonts w:ascii="Arial" w:hAnsi="Arial" w:cs="Arial"/>
          <w:sz w:val="20"/>
        </w:rPr>
        <w:t>Celsion Brandschutzsysteme GmbH</w:t>
      </w:r>
    </w:p>
    <w:p w14:paraId="3C21054E" w14:textId="77777777" w:rsidR="00F966A3" w:rsidRPr="00AE0245" w:rsidRDefault="00F966A3" w:rsidP="00F966A3">
      <w:pPr>
        <w:jc w:val="both"/>
        <w:rPr>
          <w:rFonts w:ascii="Arial" w:hAnsi="Arial" w:cs="Arial"/>
          <w:sz w:val="20"/>
        </w:rPr>
      </w:pPr>
      <w:r w:rsidRPr="00AE0245">
        <w:rPr>
          <w:rFonts w:ascii="Arial" w:hAnsi="Arial" w:cs="Arial"/>
          <w:sz w:val="20"/>
        </w:rPr>
        <w:tab/>
      </w:r>
      <w:r w:rsidRPr="00AE0245">
        <w:rPr>
          <w:rFonts w:ascii="Arial" w:hAnsi="Arial" w:cs="Arial"/>
          <w:sz w:val="20"/>
        </w:rPr>
        <w:tab/>
      </w:r>
      <w:proofErr w:type="spellStart"/>
      <w:r w:rsidR="00BD5714" w:rsidRPr="00AE0245">
        <w:rPr>
          <w:rFonts w:ascii="Arial" w:hAnsi="Arial" w:cs="Arial"/>
          <w:sz w:val="20"/>
        </w:rPr>
        <w:t>Dresdener</w:t>
      </w:r>
      <w:proofErr w:type="spellEnd"/>
      <w:r w:rsidR="00BD5714" w:rsidRPr="00AE0245">
        <w:rPr>
          <w:rFonts w:ascii="Arial" w:hAnsi="Arial" w:cs="Arial"/>
          <w:sz w:val="20"/>
        </w:rPr>
        <w:t xml:space="preserve"> </w:t>
      </w:r>
      <w:proofErr w:type="spellStart"/>
      <w:r w:rsidR="00BD5714" w:rsidRPr="00AE0245">
        <w:rPr>
          <w:rFonts w:ascii="Arial" w:hAnsi="Arial" w:cs="Arial"/>
          <w:sz w:val="20"/>
        </w:rPr>
        <w:t>Straße</w:t>
      </w:r>
      <w:proofErr w:type="spellEnd"/>
      <w:r w:rsidR="00BD5714" w:rsidRPr="00AE0245">
        <w:rPr>
          <w:rFonts w:ascii="Arial" w:hAnsi="Arial" w:cs="Arial"/>
          <w:sz w:val="20"/>
        </w:rPr>
        <w:t xml:space="preserve"> 51</w:t>
      </w:r>
    </w:p>
    <w:p w14:paraId="59D54705" w14:textId="77777777" w:rsidR="00F966A3" w:rsidRPr="00AE0245" w:rsidRDefault="00F966A3" w:rsidP="00F966A3">
      <w:pPr>
        <w:ind w:left="708" w:firstLine="708"/>
        <w:jc w:val="both"/>
        <w:rPr>
          <w:rFonts w:ascii="Arial" w:hAnsi="Arial" w:cs="Arial"/>
          <w:sz w:val="20"/>
        </w:rPr>
      </w:pPr>
      <w:r w:rsidRPr="00AE0245">
        <w:rPr>
          <w:rFonts w:ascii="Arial" w:hAnsi="Arial" w:cs="Arial"/>
          <w:sz w:val="20"/>
        </w:rPr>
        <w:t>D-</w:t>
      </w:r>
      <w:r w:rsidR="00BD5714" w:rsidRPr="00AE0245">
        <w:rPr>
          <w:rFonts w:ascii="Arial" w:hAnsi="Arial" w:cs="Arial"/>
          <w:sz w:val="20"/>
        </w:rPr>
        <w:t>02625 Bautzen</w:t>
      </w:r>
    </w:p>
    <w:p w14:paraId="661261CE" w14:textId="77777777" w:rsidR="00F966A3" w:rsidRPr="00AE0245" w:rsidRDefault="00AE0245" w:rsidP="00F966A3">
      <w:pPr>
        <w:ind w:left="708" w:firstLine="708"/>
        <w:jc w:val="both"/>
        <w:rPr>
          <w:rFonts w:ascii="Arial" w:hAnsi="Arial" w:cs="Arial"/>
          <w:sz w:val="20"/>
        </w:rPr>
      </w:pPr>
      <w:r>
        <w:rPr>
          <w:rFonts w:ascii="Arial" w:hAnsi="Arial" w:cs="Arial"/>
          <w:sz w:val="20"/>
        </w:rPr>
        <w:t>Phone:</w:t>
      </w:r>
      <w:r w:rsidR="00F966A3" w:rsidRPr="00AE0245">
        <w:rPr>
          <w:rFonts w:ascii="Arial" w:hAnsi="Arial" w:cs="Arial"/>
          <w:sz w:val="20"/>
        </w:rPr>
        <w:t xml:space="preserve"> </w:t>
      </w:r>
      <w:r>
        <w:rPr>
          <w:rFonts w:ascii="Arial" w:hAnsi="Arial" w:cs="Arial"/>
          <w:sz w:val="20"/>
        </w:rPr>
        <w:t xml:space="preserve">+49 </w:t>
      </w:r>
      <w:r w:rsidR="00F966A3" w:rsidRPr="00AE0245">
        <w:rPr>
          <w:rFonts w:ascii="Arial" w:hAnsi="Arial" w:cs="Arial"/>
          <w:sz w:val="20"/>
        </w:rPr>
        <w:t>3591 / 270 78 0</w:t>
      </w:r>
    </w:p>
    <w:p w14:paraId="6A3F179D" w14:textId="77777777" w:rsidR="00F966A3" w:rsidRPr="00AE0245" w:rsidRDefault="00F966A3" w:rsidP="00F966A3">
      <w:pPr>
        <w:ind w:left="708" w:firstLine="708"/>
        <w:jc w:val="both"/>
        <w:rPr>
          <w:rFonts w:ascii="Arial" w:hAnsi="Arial" w:cs="Arial"/>
          <w:sz w:val="20"/>
        </w:rPr>
      </w:pPr>
      <w:r w:rsidRPr="00AE0245">
        <w:rPr>
          <w:rFonts w:ascii="Arial" w:hAnsi="Arial" w:cs="Arial"/>
          <w:sz w:val="20"/>
        </w:rPr>
        <w:t xml:space="preserve">Fax: </w:t>
      </w:r>
      <w:r w:rsidR="00AE0245">
        <w:rPr>
          <w:rFonts w:ascii="Arial" w:hAnsi="Arial" w:cs="Arial"/>
          <w:sz w:val="20"/>
        </w:rPr>
        <w:t xml:space="preserve">+49 </w:t>
      </w:r>
      <w:r w:rsidRPr="00AE0245">
        <w:rPr>
          <w:rFonts w:ascii="Arial" w:hAnsi="Arial" w:cs="Arial"/>
          <w:sz w:val="20"/>
        </w:rPr>
        <w:t>3591 / 270 78 19</w:t>
      </w:r>
    </w:p>
    <w:p w14:paraId="1179E4F0" w14:textId="77777777" w:rsidR="00F966A3" w:rsidRPr="00AE0245" w:rsidRDefault="00F966A3" w:rsidP="00F966A3">
      <w:pPr>
        <w:ind w:left="708" w:firstLine="708"/>
        <w:jc w:val="both"/>
        <w:rPr>
          <w:rFonts w:ascii="Arial" w:hAnsi="Arial" w:cs="Arial"/>
          <w:sz w:val="20"/>
        </w:rPr>
      </w:pPr>
      <w:r w:rsidRPr="00AE0245">
        <w:rPr>
          <w:rFonts w:ascii="Arial" w:hAnsi="Arial" w:cs="Arial"/>
          <w:sz w:val="20"/>
        </w:rPr>
        <w:t xml:space="preserve">Email: </w:t>
      </w:r>
      <w:hyperlink r:id="rId7" w:history="1">
        <w:r w:rsidRPr="00AE0245">
          <w:rPr>
            <w:rStyle w:val="Hyperlink"/>
            <w:rFonts w:ascii="Arial" w:hAnsi="Arial" w:cs="Arial"/>
            <w:color w:val="auto"/>
            <w:sz w:val="20"/>
            <w:u w:val="none"/>
          </w:rPr>
          <w:t>office@celsion.de</w:t>
        </w:r>
      </w:hyperlink>
    </w:p>
    <w:p w14:paraId="0C508B2E" w14:textId="77777777" w:rsidR="00F966A3" w:rsidRPr="00AE0245" w:rsidRDefault="00F966A3" w:rsidP="00F966A3">
      <w:pPr>
        <w:ind w:left="708" w:firstLine="708"/>
        <w:jc w:val="both"/>
        <w:rPr>
          <w:rFonts w:ascii="Arial" w:hAnsi="Arial" w:cs="Arial"/>
          <w:sz w:val="20"/>
        </w:rPr>
      </w:pPr>
      <w:r w:rsidRPr="00AE0245">
        <w:rPr>
          <w:rFonts w:ascii="Arial" w:hAnsi="Arial" w:cs="Arial"/>
          <w:sz w:val="20"/>
        </w:rPr>
        <w:t>Web: www.celsion.de</w:t>
      </w:r>
    </w:p>
    <w:bookmarkEnd w:id="1"/>
    <w:p w14:paraId="08F81BD6" w14:textId="77777777" w:rsidR="00CE6D41" w:rsidRPr="00AE0245" w:rsidRDefault="00CE6D41">
      <w:pPr>
        <w:jc w:val="both"/>
        <w:rPr>
          <w:rFonts w:ascii="Arial" w:hAnsi="Arial" w:cs="Arial"/>
          <w:sz w:val="20"/>
        </w:rPr>
      </w:pPr>
    </w:p>
    <w:p w14:paraId="31509618" w14:textId="77777777" w:rsidR="00CE6D41" w:rsidRPr="00AE0245" w:rsidRDefault="00AE0245">
      <w:pPr>
        <w:jc w:val="both"/>
        <w:rPr>
          <w:rFonts w:ascii="Arial" w:hAnsi="Arial" w:cs="Arial"/>
          <w:sz w:val="20"/>
        </w:rPr>
      </w:pPr>
      <w:bookmarkStart w:id="2" w:name="_Hlk158707443"/>
      <w:r w:rsidRPr="00580C38">
        <w:rPr>
          <w:rFonts w:ascii="Arial" w:hAnsi="Arial" w:cs="Arial"/>
          <w:sz w:val="20"/>
          <w:szCs w:val="20"/>
        </w:rPr>
        <w:t>or equivalent</w:t>
      </w:r>
      <w:r w:rsidR="00CE6D41" w:rsidRPr="00AE0245">
        <w:rPr>
          <w:rFonts w:ascii="Arial" w:hAnsi="Arial" w:cs="Arial"/>
          <w:sz w:val="20"/>
        </w:rPr>
        <w:t>.</w:t>
      </w:r>
    </w:p>
    <w:bookmarkEnd w:id="2"/>
    <w:p w14:paraId="7B9AD6C7" w14:textId="77777777" w:rsidR="00CE6D41" w:rsidRPr="00AE0245" w:rsidRDefault="00CE6D41">
      <w:pPr>
        <w:jc w:val="both"/>
        <w:rPr>
          <w:rFonts w:ascii="Arial" w:hAnsi="Arial" w:cs="Arial"/>
          <w:b/>
          <w:bCs/>
          <w:sz w:val="20"/>
        </w:rPr>
      </w:pPr>
    </w:p>
    <w:p w14:paraId="7E2E9C1B" w14:textId="77777777" w:rsidR="00CE6D41" w:rsidRPr="00AE0245" w:rsidRDefault="00B407BA">
      <w:pPr>
        <w:jc w:val="both"/>
        <w:rPr>
          <w:rFonts w:ascii="Arial" w:hAnsi="Arial" w:cs="Arial"/>
          <w:sz w:val="20"/>
        </w:rPr>
      </w:pPr>
      <w:bookmarkStart w:id="3" w:name="_Hlk158707466"/>
      <w:r w:rsidRPr="00B407BA">
        <w:rPr>
          <w:rFonts w:ascii="Arial" w:hAnsi="Arial" w:cs="Arial"/>
          <w:sz w:val="20"/>
        </w:rPr>
        <w:t>If a different product is used, proof of the extinguishing function under the same conditions, including temperature curves, must be submitted to the planning office.</w:t>
      </w:r>
      <w:r w:rsidR="00CE6D41" w:rsidRPr="00B407BA">
        <w:rPr>
          <w:rFonts w:ascii="Arial" w:hAnsi="Arial" w:cs="Arial"/>
          <w:sz w:val="20"/>
        </w:rPr>
        <w:t xml:space="preserve"> </w:t>
      </w:r>
      <w:r w:rsidRPr="005337AB">
        <w:rPr>
          <w:rFonts w:ascii="Arial" w:hAnsi="Arial" w:cs="Arial"/>
          <w:sz w:val="20"/>
          <w:szCs w:val="20"/>
        </w:rPr>
        <w:t>Equivalence is only given if the above requirements are met.</w:t>
      </w:r>
    </w:p>
    <w:p w14:paraId="5D27B5E9" w14:textId="77777777" w:rsidR="00CE6D41" w:rsidRPr="00AE0245" w:rsidRDefault="00CE6D41">
      <w:pPr>
        <w:jc w:val="both"/>
        <w:rPr>
          <w:rFonts w:ascii="Arial" w:hAnsi="Arial" w:cs="Arial"/>
          <w:sz w:val="20"/>
        </w:rPr>
      </w:pPr>
    </w:p>
    <w:p w14:paraId="577AA075" w14:textId="77777777" w:rsidR="00130807" w:rsidRPr="00AE0245" w:rsidRDefault="00130807" w:rsidP="00130807">
      <w:pPr>
        <w:jc w:val="both"/>
        <w:rPr>
          <w:rFonts w:ascii="Arial" w:hAnsi="Arial" w:cs="Arial"/>
          <w:sz w:val="20"/>
        </w:rPr>
      </w:pPr>
      <w:r w:rsidRPr="00AE0245">
        <w:rPr>
          <w:rFonts w:ascii="Arial" w:hAnsi="Arial" w:cs="Arial"/>
          <w:sz w:val="20"/>
        </w:rPr>
        <w:t>Service:</w:t>
      </w:r>
    </w:p>
    <w:p w14:paraId="166A892A" w14:textId="77777777" w:rsidR="00AE0245" w:rsidRPr="00580C38" w:rsidRDefault="00AE0245" w:rsidP="00AE0245">
      <w:pPr>
        <w:pStyle w:val="KeinLeerraum"/>
        <w:rPr>
          <w:rFonts w:ascii="Arial" w:hAnsi="Arial" w:cs="Arial"/>
          <w:sz w:val="20"/>
          <w:szCs w:val="20"/>
          <w:lang w:val="en-GB"/>
        </w:rPr>
      </w:pPr>
      <w:r w:rsidRPr="00580C38">
        <w:rPr>
          <w:rFonts w:ascii="Arial" w:hAnsi="Arial" w:cs="Arial"/>
          <w:sz w:val="20"/>
          <w:szCs w:val="20"/>
          <w:lang w:val="en-GB"/>
        </w:rPr>
        <w:t>Delivery and ready-to-use assembly</w:t>
      </w:r>
    </w:p>
    <w:bookmarkEnd w:id="3"/>
    <w:p w14:paraId="101CCFE0" w14:textId="77777777" w:rsidR="00E56930" w:rsidRPr="00AE0245" w:rsidRDefault="00E56930">
      <w:pPr>
        <w:jc w:val="both"/>
        <w:rPr>
          <w:rFonts w:ascii="Arial" w:hAnsi="Arial" w:cs="Arial"/>
          <w:sz w:val="20"/>
        </w:rPr>
      </w:pPr>
    </w:p>
    <w:p w14:paraId="3C5F8005" w14:textId="77777777" w:rsidR="00CE6D41" w:rsidRPr="009E7824" w:rsidRDefault="009E7824">
      <w:pPr>
        <w:pStyle w:val="berschrift2"/>
        <w:rPr>
          <w:rFonts w:ascii="Arial" w:hAnsi="Arial" w:cs="Arial"/>
          <w:sz w:val="20"/>
          <w:highlight w:val="yellow"/>
        </w:rPr>
      </w:pPr>
      <w:bookmarkStart w:id="4" w:name="_Hlk158707491"/>
      <w:r w:rsidRPr="009E7824">
        <w:rPr>
          <w:rFonts w:ascii="Arial" w:hAnsi="Arial" w:cs="Arial"/>
          <w:sz w:val="20"/>
        </w:rPr>
        <w:t xml:space="preserve">Advantages of </w:t>
      </w:r>
      <w:r>
        <w:rPr>
          <w:rFonts w:ascii="Arial" w:hAnsi="Arial" w:cs="Arial"/>
          <w:sz w:val="20"/>
        </w:rPr>
        <w:t>s</w:t>
      </w:r>
      <w:r w:rsidRPr="009E7824">
        <w:rPr>
          <w:rFonts w:ascii="Arial" w:hAnsi="Arial" w:cs="Arial"/>
          <w:sz w:val="20"/>
        </w:rPr>
        <w:t xml:space="preserve">afety enclosure Type </w:t>
      </w:r>
      <w:bookmarkEnd w:id="4"/>
      <w:r w:rsidRPr="009E7824">
        <w:rPr>
          <w:rFonts w:ascii="Arial" w:hAnsi="Arial" w:cs="Arial"/>
          <w:sz w:val="20"/>
        </w:rPr>
        <w:t>QUBE® – Basic Plus</w:t>
      </w:r>
    </w:p>
    <w:p w14:paraId="36BF09C6" w14:textId="77777777" w:rsidR="00BD5714" w:rsidRPr="009E7824" w:rsidRDefault="00BD5714">
      <w:pPr>
        <w:pStyle w:val="Textkrper2"/>
        <w:rPr>
          <w:rFonts w:ascii="Arial" w:hAnsi="Arial" w:cs="Arial"/>
          <w:sz w:val="20"/>
          <w:highlight w:val="yellow"/>
        </w:rPr>
      </w:pPr>
    </w:p>
    <w:p w14:paraId="59E6AF1E" w14:textId="77777777" w:rsidR="00EC2A44" w:rsidRPr="00AE0245" w:rsidRDefault="00720219" w:rsidP="00680947">
      <w:pPr>
        <w:pStyle w:val="Textkrper2"/>
        <w:rPr>
          <w:rFonts w:ascii="Arial" w:hAnsi="Arial" w:cs="Arial"/>
          <w:sz w:val="20"/>
          <w:highlight w:val="yellow"/>
        </w:rPr>
      </w:pPr>
      <w:bookmarkStart w:id="5" w:name="_Hlk158707526"/>
      <w:r w:rsidRPr="005337AB">
        <w:rPr>
          <w:rFonts w:ascii="Arial" w:hAnsi="Arial" w:cs="Arial"/>
          <w:sz w:val="20"/>
          <w:szCs w:val="20"/>
        </w:rPr>
        <w:t xml:space="preserve">Maximum safety in the smallest space. </w:t>
      </w:r>
      <w:r>
        <w:rPr>
          <w:rFonts w:ascii="Arial" w:hAnsi="Arial" w:cs="Arial"/>
          <w:sz w:val="20"/>
        </w:rPr>
        <w:t>T</w:t>
      </w:r>
      <w:r w:rsidRPr="00720219">
        <w:rPr>
          <w:rFonts w:ascii="Arial" w:hAnsi="Arial" w:cs="Arial"/>
          <w:sz w:val="20"/>
        </w:rPr>
        <w:t>he enclosure can be installed in any position.</w:t>
      </w:r>
    </w:p>
    <w:p w14:paraId="01D908F7" w14:textId="77777777" w:rsidR="004C1E82" w:rsidRPr="00AE0245" w:rsidRDefault="00720219" w:rsidP="00680947">
      <w:pPr>
        <w:jc w:val="both"/>
        <w:rPr>
          <w:rFonts w:ascii="Arial" w:hAnsi="Arial" w:cs="Arial"/>
          <w:sz w:val="20"/>
          <w:highlight w:val="yellow"/>
        </w:rPr>
      </w:pPr>
      <w:r w:rsidRPr="00720219">
        <w:rPr>
          <w:rFonts w:ascii="Arial" w:hAnsi="Arial" w:cs="Arial"/>
          <w:sz w:val="20"/>
        </w:rPr>
        <w:t>The effective extinguishing system is able to extinguish the emerging fire of a thermally discharging lithium cell and prevents the thermal runaway of all other cells in the battery case through direct cell cooling. This prevents the further release of thermal energy and toxic fumes</w:t>
      </w:r>
      <w:bookmarkEnd w:id="5"/>
      <w:r w:rsidRPr="00720219">
        <w:rPr>
          <w:rFonts w:ascii="Arial" w:hAnsi="Arial" w:cs="Arial"/>
          <w:sz w:val="20"/>
        </w:rPr>
        <w:t>.</w:t>
      </w:r>
    </w:p>
    <w:p w14:paraId="7E3990E4" w14:textId="77777777" w:rsidR="00CE6D41" w:rsidRPr="00720219" w:rsidRDefault="00720219" w:rsidP="00680947">
      <w:pPr>
        <w:pStyle w:val="Textkrper2"/>
        <w:rPr>
          <w:rFonts w:ascii="Arial" w:hAnsi="Arial" w:cs="Arial"/>
          <w:sz w:val="20"/>
        </w:rPr>
      </w:pPr>
      <w:bookmarkStart w:id="6" w:name="_Hlk158707557"/>
      <w:r w:rsidRPr="00720219">
        <w:rPr>
          <w:rFonts w:ascii="Arial" w:hAnsi="Arial" w:cs="Arial"/>
          <w:sz w:val="20"/>
        </w:rPr>
        <w:t>Charging of the batteries is interrupted immediately.</w:t>
      </w:r>
    </w:p>
    <w:p w14:paraId="01787EA2" w14:textId="77777777" w:rsidR="00680947" w:rsidRDefault="00680947" w:rsidP="00680947">
      <w:pPr>
        <w:pStyle w:val="Textkrper2"/>
        <w:rPr>
          <w:rFonts w:ascii="Arial" w:hAnsi="Arial" w:cs="Arial"/>
          <w:sz w:val="20"/>
        </w:rPr>
      </w:pPr>
      <w:r w:rsidRPr="00680947">
        <w:rPr>
          <w:rFonts w:ascii="Arial" w:hAnsi="Arial" w:cs="Arial"/>
          <w:sz w:val="20"/>
        </w:rPr>
        <w:t>The base tray holds the contaminated extinguishing agent.</w:t>
      </w:r>
    </w:p>
    <w:p w14:paraId="069EC461" w14:textId="77777777" w:rsidR="00CE6D41" w:rsidRPr="00680947" w:rsidRDefault="00680947" w:rsidP="00680947">
      <w:pPr>
        <w:pStyle w:val="Textkrper2"/>
        <w:rPr>
          <w:rFonts w:ascii="Arial" w:hAnsi="Arial" w:cs="Arial"/>
          <w:sz w:val="20"/>
        </w:rPr>
      </w:pPr>
      <w:r w:rsidRPr="005337AB">
        <w:rPr>
          <w:rFonts w:ascii="Arial" w:hAnsi="Arial" w:cs="Arial"/>
          <w:sz w:val="20"/>
          <w:szCs w:val="20"/>
        </w:rPr>
        <w:t xml:space="preserve">Thanks to the freely selectable surface, which can optionally be adapted to the existing architecture, the </w:t>
      </w:r>
      <w:r>
        <w:rPr>
          <w:rFonts w:ascii="Arial" w:hAnsi="Arial" w:cs="Arial"/>
          <w:sz w:val="20"/>
          <w:szCs w:val="20"/>
        </w:rPr>
        <w:t>safety</w:t>
      </w:r>
      <w:r w:rsidRPr="005337AB">
        <w:rPr>
          <w:rFonts w:ascii="Arial" w:hAnsi="Arial" w:cs="Arial"/>
          <w:sz w:val="20"/>
          <w:szCs w:val="20"/>
        </w:rPr>
        <w:t xml:space="preserve"> enclosure can also be installed in prestigious areas. By lining up the enclosures, a uniform front can be created visually</w:t>
      </w:r>
      <w:bookmarkEnd w:id="6"/>
      <w:r w:rsidRPr="005337AB">
        <w:rPr>
          <w:rFonts w:ascii="Arial" w:hAnsi="Arial" w:cs="Arial"/>
          <w:sz w:val="20"/>
          <w:szCs w:val="20"/>
        </w:rPr>
        <w:t>.</w:t>
      </w:r>
    </w:p>
    <w:p w14:paraId="13E06135" w14:textId="77777777" w:rsidR="00E56930" w:rsidRPr="00680947" w:rsidRDefault="00E56930">
      <w:pPr>
        <w:pStyle w:val="Textkrper2"/>
        <w:rPr>
          <w:rFonts w:ascii="Arial" w:hAnsi="Arial" w:cs="Arial"/>
          <w:i/>
          <w:iCs/>
          <w:sz w:val="20"/>
        </w:rPr>
      </w:pPr>
    </w:p>
    <w:p w14:paraId="21FDF46C" w14:textId="77777777" w:rsidR="00CE6D41" w:rsidRPr="00AE0245" w:rsidRDefault="00CE6D41">
      <w:pPr>
        <w:pStyle w:val="Textkrper2"/>
        <w:rPr>
          <w:rFonts w:ascii="Arial" w:hAnsi="Arial" w:cs="Arial"/>
          <w:i/>
          <w:iCs/>
          <w:sz w:val="20"/>
        </w:rPr>
      </w:pPr>
      <w:bookmarkStart w:id="7" w:name="_Hlk158707569"/>
      <w:r w:rsidRPr="00AE0245">
        <w:rPr>
          <w:rFonts w:ascii="Arial" w:hAnsi="Arial" w:cs="Arial"/>
          <w:i/>
          <w:iCs/>
          <w:sz w:val="20"/>
        </w:rPr>
        <w:t>E</w:t>
      </w:r>
      <w:r w:rsidR="00AE0245">
        <w:rPr>
          <w:rFonts w:ascii="Arial" w:hAnsi="Arial" w:cs="Arial"/>
          <w:i/>
          <w:iCs/>
          <w:sz w:val="20"/>
        </w:rPr>
        <w:t>xplanations</w:t>
      </w:r>
      <w:bookmarkEnd w:id="7"/>
      <w:r w:rsidRPr="00AE0245">
        <w:rPr>
          <w:rFonts w:ascii="Arial" w:hAnsi="Arial" w:cs="Arial"/>
          <w:i/>
          <w:i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7"/>
        <w:gridCol w:w="6435"/>
      </w:tblGrid>
      <w:tr w:rsidR="00AE0245" w:rsidRPr="00AE0245" w14:paraId="3F2E406B" w14:textId="77777777">
        <w:tblPrEx>
          <w:tblCellMar>
            <w:top w:w="0" w:type="dxa"/>
            <w:bottom w:w="0" w:type="dxa"/>
          </w:tblCellMar>
        </w:tblPrEx>
        <w:tc>
          <w:tcPr>
            <w:tcW w:w="2657" w:type="dxa"/>
          </w:tcPr>
          <w:p w14:paraId="2696965A" w14:textId="77777777" w:rsidR="00AE0245" w:rsidRPr="00AE0245" w:rsidRDefault="00AE0245" w:rsidP="00AE0245">
            <w:pPr>
              <w:pStyle w:val="Textkrper2"/>
              <w:rPr>
                <w:rFonts w:ascii="Arial" w:hAnsi="Arial" w:cs="Arial"/>
                <w:b/>
                <w:bCs/>
                <w:sz w:val="20"/>
              </w:rPr>
            </w:pPr>
            <w:r w:rsidRPr="00580C38">
              <w:rPr>
                <w:rFonts w:ascii="Arial" w:hAnsi="Arial" w:cs="Arial"/>
                <w:b/>
                <w:bCs/>
                <w:sz w:val="20"/>
                <w:szCs w:val="20"/>
              </w:rPr>
              <w:t>Abbreviation</w:t>
            </w:r>
          </w:p>
        </w:tc>
        <w:tc>
          <w:tcPr>
            <w:tcW w:w="6555" w:type="dxa"/>
          </w:tcPr>
          <w:p w14:paraId="7A12D2CF" w14:textId="77777777" w:rsidR="00AE0245" w:rsidRPr="00AE0245" w:rsidRDefault="00AE0245" w:rsidP="00AE0245">
            <w:pPr>
              <w:pStyle w:val="Textkrper2"/>
              <w:rPr>
                <w:rFonts w:ascii="Arial" w:hAnsi="Arial" w:cs="Arial"/>
                <w:b/>
                <w:bCs/>
                <w:sz w:val="20"/>
              </w:rPr>
            </w:pPr>
            <w:r w:rsidRPr="00580C38">
              <w:rPr>
                <w:rFonts w:ascii="Arial" w:hAnsi="Arial" w:cs="Arial"/>
                <w:b/>
                <w:bCs/>
                <w:sz w:val="20"/>
                <w:szCs w:val="20"/>
              </w:rPr>
              <w:t>Description</w:t>
            </w:r>
          </w:p>
        </w:tc>
      </w:tr>
      <w:tr w:rsidR="00CE6D41" w:rsidRPr="00AE0245" w14:paraId="60AA0219" w14:textId="77777777">
        <w:tblPrEx>
          <w:tblCellMar>
            <w:top w:w="0" w:type="dxa"/>
            <w:bottom w:w="0" w:type="dxa"/>
          </w:tblCellMar>
        </w:tblPrEx>
        <w:tc>
          <w:tcPr>
            <w:tcW w:w="2657" w:type="dxa"/>
          </w:tcPr>
          <w:p w14:paraId="6C6A0E07" w14:textId="77777777" w:rsidR="00CE6D41" w:rsidRPr="00AE0245" w:rsidRDefault="000742D7">
            <w:pPr>
              <w:pStyle w:val="Textkrper2"/>
              <w:rPr>
                <w:rFonts w:ascii="Arial" w:hAnsi="Arial" w:cs="Arial"/>
                <w:sz w:val="20"/>
              </w:rPr>
            </w:pPr>
            <w:r w:rsidRPr="00AE0245">
              <w:rPr>
                <w:rFonts w:ascii="Arial" w:hAnsi="Arial" w:cs="Arial"/>
                <w:sz w:val="20"/>
              </w:rPr>
              <w:t xml:space="preserve"> </w:t>
            </w:r>
            <w:r w:rsidR="0054798F" w:rsidRPr="00AE0245">
              <w:rPr>
                <w:rFonts w:ascii="Arial" w:hAnsi="Arial" w:cs="Arial"/>
                <w:sz w:val="20"/>
              </w:rPr>
              <w:t>MVVTB</w:t>
            </w:r>
          </w:p>
        </w:tc>
        <w:tc>
          <w:tcPr>
            <w:tcW w:w="6555" w:type="dxa"/>
          </w:tcPr>
          <w:p w14:paraId="3BA9157C" w14:textId="77777777" w:rsidR="00CE6D41" w:rsidRPr="00AE0245" w:rsidRDefault="000742D7">
            <w:pPr>
              <w:pStyle w:val="Textkrper2"/>
              <w:rPr>
                <w:rFonts w:ascii="Arial" w:hAnsi="Arial" w:cs="Arial"/>
                <w:sz w:val="20"/>
              </w:rPr>
            </w:pPr>
            <w:r w:rsidRPr="00AE0245">
              <w:rPr>
                <w:rFonts w:ascii="Arial" w:hAnsi="Arial" w:cs="Arial"/>
                <w:sz w:val="20"/>
              </w:rPr>
              <w:t xml:space="preserve"> </w:t>
            </w:r>
            <w:r w:rsidR="00AE0245" w:rsidRPr="00580C38">
              <w:rPr>
                <w:rFonts w:ascii="Arial" w:hAnsi="Arial" w:cs="Arial"/>
                <w:sz w:val="20"/>
                <w:szCs w:val="20"/>
              </w:rPr>
              <w:t>Model administrative regulation</w:t>
            </w:r>
          </w:p>
        </w:tc>
      </w:tr>
      <w:tr w:rsidR="00CE6D41" w:rsidRPr="00AE0245" w14:paraId="73283DCC" w14:textId="77777777">
        <w:tblPrEx>
          <w:tblCellMar>
            <w:top w:w="0" w:type="dxa"/>
            <w:bottom w:w="0" w:type="dxa"/>
          </w:tblCellMar>
        </w:tblPrEx>
        <w:tc>
          <w:tcPr>
            <w:tcW w:w="2657" w:type="dxa"/>
          </w:tcPr>
          <w:p w14:paraId="751F60EE" w14:textId="77777777" w:rsidR="00CE6D41" w:rsidRPr="00AE0245" w:rsidRDefault="00CE6D41">
            <w:pPr>
              <w:pStyle w:val="Textkrper2"/>
              <w:rPr>
                <w:rFonts w:ascii="Arial" w:hAnsi="Arial" w:cs="Arial"/>
                <w:sz w:val="20"/>
              </w:rPr>
            </w:pPr>
          </w:p>
        </w:tc>
        <w:tc>
          <w:tcPr>
            <w:tcW w:w="6555" w:type="dxa"/>
          </w:tcPr>
          <w:p w14:paraId="4FD68139" w14:textId="77777777" w:rsidR="00CE6D41" w:rsidRPr="00AE0245" w:rsidRDefault="00CE6D41">
            <w:pPr>
              <w:pStyle w:val="Textkrper2"/>
              <w:rPr>
                <w:rFonts w:ascii="Arial" w:hAnsi="Arial" w:cs="Arial"/>
                <w:sz w:val="20"/>
              </w:rPr>
            </w:pPr>
          </w:p>
        </w:tc>
      </w:tr>
      <w:tr w:rsidR="00CE6D41" w:rsidRPr="00AE0245" w14:paraId="7AA83931" w14:textId="77777777">
        <w:tblPrEx>
          <w:tblCellMar>
            <w:top w:w="0" w:type="dxa"/>
            <w:bottom w:w="0" w:type="dxa"/>
          </w:tblCellMar>
        </w:tblPrEx>
        <w:tc>
          <w:tcPr>
            <w:tcW w:w="2657" w:type="dxa"/>
          </w:tcPr>
          <w:p w14:paraId="69D7AFFF" w14:textId="77777777" w:rsidR="00CE6D41" w:rsidRPr="00AE0245" w:rsidRDefault="00CE6D41">
            <w:pPr>
              <w:pStyle w:val="Textkrper2"/>
              <w:rPr>
                <w:rFonts w:ascii="Arial" w:hAnsi="Arial" w:cs="Arial"/>
                <w:sz w:val="20"/>
              </w:rPr>
            </w:pPr>
          </w:p>
        </w:tc>
        <w:tc>
          <w:tcPr>
            <w:tcW w:w="6555" w:type="dxa"/>
          </w:tcPr>
          <w:p w14:paraId="1287B144" w14:textId="77777777" w:rsidR="00CE6D41" w:rsidRPr="00AE0245" w:rsidRDefault="00CE6D41">
            <w:pPr>
              <w:pStyle w:val="Textkrper2"/>
              <w:rPr>
                <w:rFonts w:ascii="Arial" w:hAnsi="Arial" w:cs="Arial"/>
                <w:sz w:val="20"/>
              </w:rPr>
            </w:pPr>
          </w:p>
        </w:tc>
      </w:tr>
    </w:tbl>
    <w:p w14:paraId="22A7158C" w14:textId="77777777" w:rsidR="00CE6D41" w:rsidRPr="00D60E5E" w:rsidRDefault="00CE6D41">
      <w:pPr>
        <w:pStyle w:val="Textkrper2"/>
      </w:pPr>
    </w:p>
    <w:sectPr w:rsidR="00CE6D41" w:rsidRPr="00D60E5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F1DB" w14:textId="77777777" w:rsidR="00911C5E" w:rsidRPr="00AE0245" w:rsidRDefault="00911C5E">
      <w:r w:rsidRPr="00AE0245">
        <w:separator/>
      </w:r>
    </w:p>
  </w:endnote>
  <w:endnote w:type="continuationSeparator" w:id="0">
    <w:p w14:paraId="74D9CC00" w14:textId="77777777" w:rsidR="00911C5E" w:rsidRPr="00AE0245" w:rsidRDefault="00911C5E">
      <w:r w:rsidRPr="00AE02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3B79" w14:textId="77777777" w:rsidR="00AE0245" w:rsidRPr="00AE0245" w:rsidRDefault="00AE0245" w:rsidP="00AE0245">
    <w:pPr>
      <w:pStyle w:val="Fuzeile"/>
      <w:jc w:val="center"/>
      <w:rPr>
        <w:rFonts w:ascii="Arial" w:hAnsi="Arial" w:cs="Arial"/>
        <w:b/>
        <w:bCs/>
        <w:color w:val="999999"/>
        <w:sz w:val="20"/>
        <w:szCs w:val="22"/>
      </w:rPr>
    </w:pPr>
    <w:r w:rsidRPr="00AE0245">
      <w:rPr>
        <w:rFonts w:ascii="Arial" w:hAnsi="Arial" w:cs="Arial"/>
        <w:b/>
        <w:bCs/>
        <w:color w:val="999999"/>
        <w:sz w:val="20"/>
      </w:rPr>
      <w:t>Further information can be found at www.celsion.de</w:t>
    </w:r>
  </w:p>
  <w:p w14:paraId="44D1348C" w14:textId="77777777" w:rsidR="00291788" w:rsidRPr="00AE0245" w:rsidRDefault="00AE0245" w:rsidP="00AE0245">
    <w:pPr>
      <w:pStyle w:val="Fuzeile"/>
      <w:jc w:val="center"/>
      <w:rPr>
        <w:rFonts w:ascii="Calibri" w:hAnsi="Calibri"/>
        <w:sz w:val="22"/>
      </w:rPr>
    </w:pPr>
    <w:r w:rsidRPr="00AE0245">
      <w:rPr>
        <w:rFonts w:ascii="Arial" w:hAnsi="Arial" w:cs="Arial"/>
        <w:b/>
        <w:bCs/>
        <w:color w:val="999999"/>
        <w:sz w:val="20"/>
      </w:rPr>
      <w:t>Printing errors and mistakes cannot be completely ruled out. In case of uncertainty, please contact 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48711" w14:textId="77777777" w:rsidR="00911C5E" w:rsidRPr="00AE0245" w:rsidRDefault="00911C5E">
      <w:r w:rsidRPr="00AE0245">
        <w:separator/>
      </w:r>
    </w:p>
  </w:footnote>
  <w:footnote w:type="continuationSeparator" w:id="0">
    <w:p w14:paraId="507D8BC8" w14:textId="77777777" w:rsidR="00911C5E" w:rsidRPr="00AE0245" w:rsidRDefault="00911C5E">
      <w:r w:rsidRPr="00AE02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6C77" w14:textId="77777777" w:rsidR="00AE0245" w:rsidRPr="00AE0245" w:rsidRDefault="00AE0245" w:rsidP="00AE0245">
    <w:pPr>
      <w:pStyle w:val="Kopfzeile"/>
      <w:rPr>
        <w:rFonts w:ascii="Arial" w:hAnsi="Arial" w:cs="Arial"/>
        <w:b/>
        <w:bCs/>
        <w:color w:val="999999"/>
        <w:sz w:val="22"/>
        <w:szCs w:val="22"/>
      </w:rPr>
    </w:pPr>
    <w:r w:rsidRPr="00AE0245">
      <w:rPr>
        <w:rFonts w:ascii="Arial" w:hAnsi="Arial" w:cs="Arial"/>
        <w:b/>
        <w:bCs/>
        <w:color w:val="999999"/>
      </w:rPr>
      <w:t xml:space="preserve">Celsion Brandschutzsysteme GmbH     Germany      Specification texts </w:t>
    </w:r>
  </w:p>
  <w:p w14:paraId="6CA8D69D" w14:textId="77777777" w:rsidR="00AE0245" w:rsidRPr="00AE0245" w:rsidRDefault="00AE0245" w:rsidP="00AE0245">
    <w:pPr>
      <w:pStyle w:val="Kopfzeile"/>
      <w:rPr>
        <w:rFonts w:ascii="Arial" w:hAnsi="Arial" w:cs="Arial"/>
        <w:b/>
        <w:bCs/>
        <w:color w:val="999999"/>
        <w:sz w:val="20"/>
      </w:rPr>
    </w:pPr>
    <w:r w:rsidRPr="00AE0245">
      <w:rPr>
        <w:rFonts w:ascii="Arial" w:hAnsi="Arial" w:cs="Arial"/>
        <w:b/>
        <w:bCs/>
        <w:color w:val="999999"/>
        <w:sz w:val="20"/>
      </w:rPr>
      <w:t>As of: February 2024</w:t>
    </w:r>
  </w:p>
  <w:p w14:paraId="243E2685" w14:textId="77777777" w:rsidR="00A067FF" w:rsidRPr="00AE0245" w:rsidRDefault="00A067FF" w:rsidP="000C0A88">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250ED"/>
    <w:multiLevelType w:val="hybridMultilevel"/>
    <w:tmpl w:val="C082CB8C"/>
    <w:lvl w:ilvl="0" w:tplc="F894FD0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0263520">
    <w:abstractNumId w:val="2"/>
  </w:num>
  <w:num w:numId="2" w16cid:durableId="4083850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593591">
    <w:abstractNumId w:val="1"/>
  </w:num>
  <w:num w:numId="4" w16cid:durableId="2129664194">
    <w:abstractNumId w:val="3"/>
  </w:num>
  <w:num w:numId="5" w16cid:durableId="2375246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8305700">
    <w:abstractNumId w:val="1"/>
    <w:lvlOverride w:ilvl="0"/>
    <w:lvlOverride w:ilvl="1"/>
    <w:lvlOverride w:ilvl="2"/>
    <w:lvlOverride w:ilvl="3"/>
    <w:lvlOverride w:ilvl="4"/>
    <w:lvlOverride w:ilvl="5"/>
    <w:lvlOverride w:ilvl="6"/>
    <w:lvlOverride w:ilvl="7"/>
    <w:lvlOverride w:ilvl="8"/>
  </w:num>
  <w:num w:numId="7" w16cid:durableId="346714268">
    <w:abstractNumId w:val="2"/>
    <w:lvlOverride w:ilvl="0"/>
    <w:lvlOverride w:ilvl="1"/>
    <w:lvlOverride w:ilvl="2"/>
    <w:lvlOverride w:ilvl="3"/>
    <w:lvlOverride w:ilvl="4"/>
    <w:lvlOverride w:ilvl="5"/>
    <w:lvlOverride w:ilvl="6"/>
    <w:lvlOverride w:ilvl="7"/>
    <w:lvlOverride w:ilvl="8"/>
  </w:num>
  <w:num w:numId="8" w16cid:durableId="193909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1E"/>
    <w:rsid w:val="00054CF2"/>
    <w:rsid w:val="000742D7"/>
    <w:rsid w:val="0008356B"/>
    <w:rsid w:val="000836B9"/>
    <w:rsid w:val="0008592B"/>
    <w:rsid w:val="000951FC"/>
    <w:rsid w:val="000B2B88"/>
    <w:rsid w:val="000B41D6"/>
    <w:rsid w:val="000C0A88"/>
    <w:rsid w:val="000C1D9A"/>
    <w:rsid w:val="000D3532"/>
    <w:rsid w:val="00117EBE"/>
    <w:rsid w:val="00130807"/>
    <w:rsid w:val="00132317"/>
    <w:rsid w:val="00151DD1"/>
    <w:rsid w:val="00157787"/>
    <w:rsid w:val="00166950"/>
    <w:rsid w:val="0019621C"/>
    <w:rsid w:val="001C507F"/>
    <w:rsid w:val="00206862"/>
    <w:rsid w:val="00220321"/>
    <w:rsid w:val="0024359F"/>
    <w:rsid w:val="00251B93"/>
    <w:rsid w:val="00284DD8"/>
    <w:rsid w:val="00291788"/>
    <w:rsid w:val="002A2FDE"/>
    <w:rsid w:val="002B364C"/>
    <w:rsid w:val="002B54F9"/>
    <w:rsid w:val="002D3A92"/>
    <w:rsid w:val="00334CB7"/>
    <w:rsid w:val="00353D00"/>
    <w:rsid w:val="003677D9"/>
    <w:rsid w:val="003704D4"/>
    <w:rsid w:val="00370ACF"/>
    <w:rsid w:val="003D7CBD"/>
    <w:rsid w:val="004349D1"/>
    <w:rsid w:val="0043509E"/>
    <w:rsid w:val="004621F9"/>
    <w:rsid w:val="0047243D"/>
    <w:rsid w:val="00476C61"/>
    <w:rsid w:val="004A0F55"/>
    <w:rsid w:val="004A526B"/>
    <w:rsid w:val="004C14ED"/>
    <w:rsid w:val="004C1E82"/>
    <w:rsid w:val="004C445F"/>
    <w:rsid w:val="004D3A73"/>
    <w:rsid w:val="004D5EC0"/>
    <w:rsid w:val="0050350A"/>
    <w:rsid w:val="005056BF"/>
    <w:rsid w:val="0054798F"/>
    <w:rsid w:val="005707FB"/>
    <w:rsid w:val="0057370D"/>
    <w:rsid w:val="00593321"/>
    <w:rsid w:val="00595315"/>
    <w:rsid w:val="005E629B"/>
    <w:rsid w:val="005F0F09"/>
    <w:rsid w:val="0062197B"/>
    <w:rsid w:val="00627ABD"/>
    <w:rsid w:val="0064183E"/>
    <w:rsid w:val="00644E4A"/>
    <w:rsid w:val="00646499"/>
    <w:rsid w:val="00657228"/>
    <w:rsid w:val="00675798"/>
    <w:rsid w:val="00680947"/>
    <w:rsid w:val="006826E3"/>
    <w:rsid w:val="00692D2D"/>
    <w:rsid w:val="00697F17"/>
    <w:rsid w:val="006A1A17"/>
    <w:rsid w:val="006B00D0"/>
    <w:rsid w:val="006B5442"/>
    <w:rsid w:val="006B6F2B"/>
    <w:rsid w:val="007123F6"/>
    <w:rsid w:val="00720219"/>
    <w:rsid w:val="007214D3"/>
    <w:rsid w:val="00731B4F"/>
    <w:rsid w:val="0073778E"/>
    <w:rsid w:val="007509CB"/>
    <w:rsid w:val="007937AF"/>
    <w:rsid w:val="0079587F"/>
    <w:rsid w:val="00797B22"/>
    <w:rsid w:val="007B0352"/>
    <w:rsid w:val="007C602E"/>
    <w:rsid w:val="007E2D9B"/>
    <w:rsid w:val="00816DCD"/>
    <w:rsid w:val="00820868"/>
    <w:rsid w:val="00823A5A"/>
    <w:rsid w:val="00831173"/>
    <w:rsid w:val="008409A2"/>
    <w:rsid w:val="00844162"/>
    <w:rsid w:val="00851E5F"/>
    <w:rsid w:val="008D1ABC"/>
    <w:rsid w:val="008E31CA"/>
    <w:rsid w:val="008F35F6"/>
    <w:rsid w:val="008F45A7"/>
    <w:rsid w:val="0090748E"/>
    <w:rsid w:val="00911C5E"/>
    <w:rsid w:val="00954895"/>
    <w:rsid w:val="009573FD"/>
    <w:rsid w:val="00965E3D"/>
    <w:rsid w:val="00977FD9"/>
    <w:rsid w:val="00995E62"/>
    <w:rsid w:val="009A0B22"/>
    <w:rsid w:val="009E0BD7"/>
    <w:rsid w:val="009E7824"/>
    <w:rsid w:val="009E793A"/>
    <w:rsid w:val="009F7D52"/>
    <w:rsid w:val="00A03656"/>
    <w:rsid w:val="00A067FF"/>
    <w:rsid w:val="00A110CF"/>
    <w:rsid w:val="00A13692"/>
    <w:rsid w:val="00A4546F"/>
    <w:rsid w:val="00A60FE6"/>
    <w:rsid w:val="00A66A98"/>
    <w:rsid w:val="00A8096E"/>
    <w:rsid w:val="00A86EF1"/>
    <w:rsid w:val="00A93764"/>
    <w:rsid w:val="00AB7BF3"/>
    <w:rsid w:val="00AE0245"/>
    <w:rsid w:val="00B407BA"/>
    <w:rsid w:val="00B433FD"/>
    <w:rsid w:val="00B44844"/>
    <w:rsid w:val="00B523C9"/>
    <w:rsid w:val="00B551F2"/>
    <w:rsid w:val="00BC1DFB"/>
    <w:rsid w:val="00BC6A97"/>
    <w:rsid w:val="00BD5714"/>
    <w:rsid w:val="00BE6B3F"/>
    <w:rsid w:val="00C14EC0"/>
    <w:rsid w:val="00C26BC0"/>
    <w:rsid w:val="00C35B1E"/>
    <w:rsid w:val="00C71026"/>
    <w:rsid w:val="00C818A9"/>
    <w:rsid w:val="00C95EBC"/>
    <w:rsid w:val="00CA23BC"/>
    <w:rsid w:val="00CD3C6A"/>
    <w:rsid w:val="00CE02BF"/>
    <w:rsid w:val="00CE6D41"/>
    <w:rsid w:val="00CF661B"/>
    <w:rsid w:val="00D11F23"/>
    <w:rsid w:val="00D11F3A"/>
    <w:rsid w:val="00D60E5E"/>
    <w:rsid w:val="00D80E4E"/>
    <w:rsid w:val="00D819C7"/>
    <w:rsid w:val="00D81BC6"/>
    <w:rsid w:val="00D8310E"/>
    <w:rsid w:val="00D84C57"/>
    <w:rsid w:val="00D95CA6"/>
    <w:rsid w:val="00DA2E2F"/>
    <w:rsid w:val="00DA3048"/>
    <w:rsid w:val="00DA69EB"/>
    <w:rsid w:val="00DA79F4"/>
    <w:rsid w:val="00DF2E1E"/>
    <w:rsid w:val="00E07561"/>
    <w:rsid w:val="00E27DCF"/>
    <w:rsid w:val="00E41293"/>
    <w:rsid w:val="00E56930"/>
    <w:rsid w:val="00EA42A1"/>
    <w:rsid w:val="00EC2A44"/>
    <w:rsid w:val="00EE323C"/>
    <w:rsid w:val="00EF534E"/>
    <w:rsid w:val="00EF61FF"/>
    <w:rsid w:val="00F13FD9"/>
    <w:rsid w:val="00F4653A"/>
    <w:rsid w:val="00F50406"/>
    <w:rsid w:val="00F548DB"/>
    <w:rsid w:val="00F7615F"/>
    <w:rsid w:val="00F966A3"/>
    <w:rsid w:val="00FA0D66"/>
    <w:rsid w:val="00FA1B07"/>
    <w:rsid w:val="00FA6981"/>
    <w:rsid w:val="00FC07E2"/>
    <w:rsid w:val="00FC5B02"/>
    <w:rsid w:val="00FF75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F8C55E"/>
  <w15:chartTrackingRefBased/>
  <w15:docId w15:val="{DA919B31-0451-4B83-A437-19A86E34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en-GB"/>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Listenabsatz">
    <w:name w:val="List Paragraph"/>
    <w:basedOn w:val="Standard"/>
    <w:uiPriority w:val="34"/>
    <w:qFormat/>
    <w:rsid w:val="00DF2E1E"/>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291788"/>
    <w:rPr>
      <w:sz w:val="24"/>
      <w:szCs w:val="24"/>
    </w:rPr>
  </w:style>
  <w:style w:type="character" w:customStyle="1" w:styleId="KopfzeileZchn">
    <w:name w:val="Kopfzeile Zchn"/>
    <w:link w:val="Kopfzeile"/>
    <w:rsid w:val="000C0A88"/>
    <w:rPr>
      <w:sz w:val="24"/>
      <w:szCs w:val="24"/>
    </w:rPr>
  </w:style>
  <w:style w:type="paragraph" w:styleId="KeinLeerraum">
    <w:name w:val="No Spacing"/>
    <w:uiPriority w:val="1"/>
    <w:qFormat/>
    <w:rsid w:val="00AE0245"/>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2030">
      <w:bodyDiv w:val="1"/>
      <w:marLeft w:val="0"/>
      <w:marRight w:val="0"/>
      <w:marTop w:val="0"/>
      <w:marBottom w:val="0"/>
      <w:divBdr>
        <w:top w:val="none" w:sz="0" w:space="0" w:color="auto"/>
        <w:left w:val="none" w:sz="0" w:space="0" w:color="auto"/>
        <w:bottom w:val="none" w:sz="0" w:space="0" w:color="auto"/>
        <w:right w:val="none" w:sz="0" w:space="0" w:color="auto"/>
      </w:divBdr>
    </w:div>
    <w:div w:id="308098763">
      <w:bodyDiv w:val="1"/>
      <w:marLeft w:val="0"/>
      <w:marRight w:val="0"/>
      <w:marTop w:val="0"/>
      <w:marBottom w:val="0"/>
      <w:divBdr>
        <w:top w:val="none" w:sz="0" w:space="0" w:color="auto"/>
        <w:left w:val="none" w:sz="0" w:space="0" w:color="auto"/>
        <w:bottom w:val="none" w:sz="0" w:space="0" w:color="auto"/>
        <w:right w:val="none" w:sz="0" w:space="0" w:color="auto"/>
      </w:divBdr>
    </w:div>
    <w:div w:id="660041390">
      <w:bodyDiv w:val="1"/>
      <w:marLeft w:val="0"/>
      <w:marRight w:val="0"/>
      <w:marTop w:val="0"/>
      <w:marBottom w:val="0"/>
      <w:divBdr>
        <w:top w:val="none" w:sz="0" w:space="0" w:color="auto"/>
        <w:left w:val="none" w:sz="0" w:space="0" w:color="auto"/>
        <w:bottom w:val="none" w:sz="0" w:space="0" w:color="auto"/>
        <w:right w:val="none" w:sz="0" w:space="0" w:color="auto"/>
      </w:divBdr>
    </w:div>
    <w:div w:id="669144672">
      <w:bodyDiv w:val="1"/>
      <w:marLeft w:val="0"/>
      <w:marRight w:val="0"/>
      <w:marTop w:val="0"/>
      <w:marBottom w:val="0"/>
      <w:divBdr>
        <w:top w:val="none" w:sz="0" w:space="0" w:color="auto"/>
        <w:left w:val="none" w:sz="0" w:space="0" w:color="auto"/>
        <w:bottom w:val="none" w:sz="0" w:space="0" w:color="auto"/>
        <w:right w:val="none" w:sz="0" w:space="0" w:color="auto"/>
      </w:divBdr>
    </w:div>
    <w:div w:id="909195843">
      <w:bodyDiv w:val="1"/>
      <w:marLeft w:val="0"/>
      <w:marRight w:val="0"/>
      <w:marTop w:val="0"/>
      <w:marBottom w:val="0"/>
      <w:divBdr>
        <w:top w:val="none" w:sz="0" w:space="0" w:color="auto"/>
        <w:left w:val="none" w:sz="0" w:space="0" w:color="auto"/>
        <w:bottom w:val="none" w:sz="0" w:space="0" w:color="auto"/>
        <w:right w:val="none" w:sz="0" w:space="0" w:color="auto"/>
      </w:divBdr>
    </w:div>
    <w:div w:id="910115281">
      <w:bodyDiv w:val="1"/>
      <w:marLeft w:val="0"/>
      <w:marRight w:val="0"/>
      <w:marTop w:val="0"/>
      <w:marBottom w:val="0"/>
      <w:divBdr>
        <w:top w:val="none" w:sz="0" w:space="0" w:color="auto"/>
        <w:left w:val="none" w:sz="0" w:space="0" w:color="auto"/>
        <w:bottom w:val="none" w:sz="0" w:space="0" w:color="auto"/>
        <w:right w:val="none" w:sz="0" w:space="0" w:color="auto"/>
      </w:divBdr>
    </w:div>
    <w:div w:id="1266960726">
      <w:bodyDiv w:val="1"/>
      <w:marLeft w:val="0"/>
      <w:marRight w:val="0"/>
      <w:marTop w:val="0"/>
      <w:marBottom w:val="0"/>
      <w:divBdr>
        <w:top w:val="none" w:sz="0" w:space="0" w:color="auto"/>
        <w:left w:val="none" w:sz="0" w:space="0" w:color="auto"/>
        <w:bottom w:val="none" w:sz="0" w:space="0" w:color="auto"/>
        <w:right w:val="none" w:sz="0" w:space="0" w:color="auto"/>
      </w:divBdr>
    </w:div>
    <w:div w:id="1313558511">
      <w:bodyDiv w:val="1"/>
      <w:marLeft w:val="0"/>
      <w:marRight w:val="0"/>
      <w:marTop w:val="0"/>
      <w:marBottom w:val="0"/>
      <w:divBdr>
        <w:top w:val="none" w:sz="0" w:space="0" w:color="auto"/>
        <w:left w:val="none" w:sz="0" w:space="0" w:color="auto"/>
        <w:bottom w:val="none" w:sz="0" w:space="0" w:color="auto"/>
        <w:right w:val="none" w:sz="0" w:space="0" w:color="auto"/>
      </w:divBdr>
    </w:div>
    <w:div w:id="1487436135">
      <w:bodyDiv w:val="1"/>
      <w:marLeft w:val="0"/>
      <w:marRight w:val="0"/>
      <w:marTop w:val="0"/>
      <w:marBottom w:val="0"/>
      <w:divBdr>
        <w:top w:val="none" w:sz="0" w:space="0" w:color="auto"/>
        <w:left w:val="none" w:sz="0" w:space="0" w:color="auto"/>
        <w:bottom w:val="none" w:sz="0" w:space="0" w:color="auto"/>
        <w:right w:val="none" w:sz="0" w:space="0" w:color="auto"/>
      </w:divBdr>
    </w:div>
    <w:div w:id="1546868849">
      <w:bodyDiv w:val="1"/>
      <w:marLeft w:val="0"/>
      <w:marRight w:val="0"/>
      <w:marTop w:val="0"/>
      <w:marBottom w:val="0"/>
      <w:divBdr>
        <w:top w:val="none" w:sz="0" w:space="0" w:color="auto"/>
        <w:left w:val="none" w:sz="0" w:space="0" w:color="auto"/>
        <w:bottom w:val="none" w:sz="0" w:space="0" w:color="auto"/>
        <w:right w:val="none" w:sz="0" w:space="0" w:color="auto"/>
      </w:divBdr>
    </w:div>
    <w:div w:id="2068217691">
      <w:bodyDiv w:val="1"/>
      <w:marLeft w:val="0"/>
      <w:marRight w:val="0"/>
      <w:marTop w:val="0"/>
      <w:marBottom w:val="0"/>
      <w:divBdr>
        <w:top w:val="none" w:sz="0" w:space="0" w:color="auto"/>
        <w:left w:val="none" w:sz="0" w:space="0" w:color="auto"/>
        <w:bottom w:val="none" w:sz="0" w:space="0" w:color="auto"/>
        <w:right w:val="none" w:sz="0" w:space="0" w:color="auto"/>
      </w:divBdr>
    </w:div>
    <w:div w:id="214415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4258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4924</CharactersWithSpaces>
  <SharedDoc>false</SharedDoc>
  <HLinks>
    <vt:vector size="6" baseType="variant">
      <vt:variant>
        <vt:i4>7995468</vt:i4>
      </vt:variant>
      <vt:variant>
        <vt:i4>0</vt:i4>
      </vt:variant>
      <vt:variant>
        <vt:i4>0</vt:i4>
      </vt:variant>
      <vt:variant>
        <vt:i4>5</vt:i4>
      </vt:variant>
      <vt:variant>
        <vt:lpwstr>mailto:office@celsion.de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2007-06-25T14:14:00Z</cp:lastPrinted>
  <dcterms:created xsi:type="dcterms:W3CDTF">2026-03-18T11:11:00Z</dcterms:created>
  <dcterms:modified xsi:type="dcterms:W3CDTF">2026-03-18T11:11:00Z</dcterms:modified>
</cp:coreProperties>
</file>