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AC2F" w14:textId="77777777" w:rsidR="00CE6D41" w:rsidRPr="00D60E5E" w:rsidRDefault="00CE6D41">
      <w:pPr>
        <w:rPr>
          <w:rFonts w:ascii="Arial" w:hAnsi="Arial" w:cs="Arial"/>
          <w:b/>
          <w:bCs/>
          <w:sz w:val="20"/>
        </w:rPr>
      </w:pPr>
      <w:r w:rsidRPr="00D60E5E">
        <w:rPr>
          <w:rFonts w:ascii="Arial" w:hAnsi="Arial" w:cs="Arial"/>
          <w:b/>
          <w:bCs/>
          <w:sz w:val="20"/>
          <w:u w:val="single"/>
        </w:rPr>
        <w:t>Ausschreibungstext:</w:t>
      </w:r>
      <w:r w:rsidR="00FA1B07" w:rsidRPr="00D60E5E">
        <w:rPr>
          <w:rFonts w:ascii="Arial" w:hAnsi="Arial" w:cs="Arial"/>
          <w:b/>
          <w:bCs/>
          <w:sz w:val="20"/>
          <w:u w:val="single"/>
        </w:rPr>
        <w:t xml:space="preserve"> Sicherheits</w:t>
      </w:r>
      <w:r w:rsidR="00EA42A1" w:rsidRPr="00D60E5E">
        <w:rPr>
          <w:rFonts w:ascii="Arial" w:hAnsi="Arial" w:cs="Arial"/>
          <w:b/>
          <w:bCs/>
          <w:sz w:val="20"/>
          <w:u w:val="single"/>
        </w:rPr>
        <w:t>gehäuse</w:t>
      </w:r>
      <w:r w:rsidR="00FA1B07" w:rsidRPr="00D60E5E">
        <w:rPr>
          <w:rFonts w:ascii="Arial" w:hAnsi="Arial" w:cs="Arial"/>
          <w:b/>
          <w:bCs/>
          <w:sz w:val="20"/>
          <w:u w:val="single"/>
        </w:rPr>
        <w:t xml:space="preserve"> zur Lagerung von Li</w:t>
      </w:r>
      <w:r w:rsidR="00CE02BF" w:rsidRPr="00D60E5E">
        <w:rPr>
          <w:rFonts w:ascii="Arial" w:hAnsi="Arial" w:cs="Arial"/>
          <w:b/>
          <w:bCs/>
          <w:sz w:val="20"/>
          <w:u w:val="single"/>
        </w:rPr>
        <w:t>thium</w:t>
      </w:r>
      <w:r w:rsidR="00FA1B07" w:rsidRPr="00D60E5E">
        <w:rPr>
          <w:rFonts w:ascii="Arial" w:hAnsi="Arial" w:cs="Arial"/>
          <w:b/>
          <w:bCs/>
          <w:sz w:val="20"/>
          <w:u w:val="single"/>
        </w:rPr>
        <w:t>-Batterien</w:t>
      </w:r>
    </w:p>
    <w:p w14:paraId="56065513" w14:textId="77777777" w:rsidR="00CE6D41" w:rsidRPr="00D60E5E" w:rsidRDefault="00CE6D41">
      <w:pPr>
        <w:jc w:val="both"/>
        <w:rPr>
          <w:rFonts w:ascii="Arial" w:hAnsi="Arial" w:cs="Arial"/>
          <w:sz w:val="20"/>
        </w:rPr>
      </w:pPr>
      <w:r w:rsidRPr="00D60E5E">
        <w:rPr>
          <w:rFonts w:ascii="Arial" w:hAnsi="Arial" w:cs="Arial"/>
          <w:sz w:val="20"/>
        </w:rPr>
        <w:t xml:space="preserve">Geprüftes </w:t>
      </w:r>
      <w:r w:rsidR="00EA42A1" w:rsidRPr="00D60E5E">
        <w:rPr>
          <w:rFonts w:ascii="Arial" w:hAnsi="Arial" w:cs="Arial"/>
          <w:sz w:val="20"/>
        </w:rPr>
        <w:t>G</w:t>
      </w:r>
      <w:r w:rsidRPr="00D60E5E">
        <w:rPr>
          <w:rFonts w:ascii="Arial" w:hAnsi="Arial" w:cs="Arial"/>
          <w:sz w:val="20"/>
        </w:rPr>
        <w:t>ehäuse mit einer Feuerwiderstandsdauer von mindestens 90 Minuten, bei einer Brandbelastung von außen un</w:t>
      </w:r>
      <w:r w:rsidR="00130807" w:rsidRPr="00D60E5E">
        <w:rPr>
          <w:rFonts w:ascii="Arial" w:hAnsi="Arial" w:cs="Arial"/>
          <w:sz w:val="20"/>
        </w:rPr>
        <w:t>d innen im Sinne F90 und I</w:t>
      </w:r>
      <w:r w:rsidR="00D11F23" w:rsidRPr="00D60E5E">
        <w:rPr>
          <w:rFonts w:ascii="Arial" w:hAnsi="Arial" w:cs="Arial"/>
          <w:sz w:val="20"/>
        </w:rPr>
        <w:t>9</w:t>
      </w:r>
      <w:r w:rsidR="00130807" w:rsidRPr="00D60E5E">
        <w:rPr>
          <w:rFonts w:ascii="Arial" w:hAnsi="Arial" w:cs="Arial"/>
          <w:sz w:val="20"/>
        </w:rPr>
        <w:t xml:space="preserve">0 </w:t>
      </w:r>
      <w:r w:rsidRPr="00D60E5E">
        <w:rPr>
          <w:rFonts w:ascii="Arial" w:hAnsi="Arial" w:cs="Arial"/>
          <w:sz w:val="20"/>
        </w:rPr>
        <w:t>gep</w:t>
      </w:r>
      <w:r w:rsidR="005F0F09" w:rsidRPr="00D60E5E">
        <w:rPr>
          <w:rFonts w:ascii="Arial" w:hAnsi="Arial" w:cs="Arial"/>
          <w:sz w:val="20"/>
        </w:rPr>
        <w:t xml:space="preserve">rüft in Anlehnung an </w:t>
      </w:r>
      <w:r w:rsidR="007E2D9B" w:rsidRPr="00D60E5E">
        <w:rPr>
          <w:rFonts w:ascii="Arial" w:hAnsi="Arial" w:cs="Arial"/>
          <w:sz w:val="20"/>
        </w:rPr>
        <w:t>EN 1363-1</w:t>
      </w:r>
      <w:r w:rsidR="0079587F" w:rsidRPr="00D60E5E">
        <w:rPr>
          <w:rFonts w:ascii="Arial" w:hAnsi="Arial" w:cs="Arial"/>
          <w:sz w:val="20"/>
        </w:rPr>
        <w:t xml:space="preserve">. </w:t>
      </w:r>
      <w:r w:rsidR="0008592B" w:rsidRPr="00D60E5E">
        <w:rPr>
          <w:rFonts w:ascii="Arial" w:hAnsi="Arial" w:cs="Arial"/>
          <w:sz w:val="20"/>
        </w:rPr>
        <w:t>Geeignet für Batterien inklusive Li</w:t>
      </w:r>
      <w:r w:rsidR="00CE02BF" w:rsidRPr="00D60E5E">
        <w:rPr>
          <w:rFonts w:ascii="Arial" w:hAnsi="Arial" w:cs="Arial"/>
          <w:sz w:val="20"/>
        </w:rPr>
        <w:t>thium</w:t>
      </w:r>
      <w:r w:rsidR="0008592B" w:rsidRPr="00D60E5E">
        <w:rPr>
          <w:rFonts w:ascii="Arial" w:hAnsi="Arial" w:cs="Arial"/>
          <w:sz w:val="20"/>
        </w:rPr>
        <w:t xml:space="preserve">-Ionen Batterien bis zu einer </w:t>
      </w:r>
      <w:r w:rsidR="00206862" w:rsidRPr="00D60E5E">
        <w:rPr>
          <w:rFonts w:ascii="Arial" w:hAnsi="Arial" w:cs="Arial"/>
          <w:sz w:val="20"/>
        </w:rPr>
        <w:t>Leistung</w:t>
      </w:r>
      <w:r w:rsidR="0008592B" w:rsidRPr="00D60E5E">
        <w:rPr>
          <w:rFonts w:ascii="Arial" w:hAnsi="Arial" w:cs="Arial"/>
          <w:sz w:val="20"/>
        </w:rPr>
        <w:t xml:space="preserve"> von 62</w:t>
      </w:r>
      <w:r w:rsidR="0054798F" w:rsidRPr="00D60E5E">
        <w:rPr>
          <w:rFonts w:ascii="Arial" w:hAnsi="Arial" w:cs="Arial"/>
          <w:sz w:val="20"/>
        </w:rPr>
        <w:t>5</w:t>
      </w:r>
      <w:r w:rsidR="0008592B" w:rsidRPr="00D60E5E">
        <w:rPr>
          <w:rFonts w:ascii="Arial" w:hAnsi="Arial" w:cs="Arial"/>
          <w:sz w:val="20"/>
        </w:rPr>
        <w:t>Wh</w:t>
      </w:r>
      <w:r w:rsidR="00675798" w:rsidRPr="00D60E5E">
        <w:rPr>
          <w:rFonts w:ascii="Arial" w:hAnsi="Arial" w:cs="Arial"/>
          <w:sz w:val="20"/>
        </w:rPr>
        <w:t xml:space="preserve"> (Kunststoffgehäuse)</w:t>
      </w:r>
      <w:r w:rsidR="0073778E" w:rsidRPr="00D60E5E">
        <w:rPr>
          <w:rFonts w:ascii="Arial" w:hAnsi="Arial" w:cs="Arial"/>
          <w:sz w:val="20"/>
        </w:rPr>
        <w:t>.</w:t>
      </w:r>
    </w:p>
    <w:p w14:paraId="4BFA971D" w14:textId="77777777" w:rsidR="00CE6D41" w:rsidRPr="00D60E5E" w:rsidRDefault="00CE6D41">
      <w:pPr>
        <w:rPr>
          <w:rFonts w:ascii="Arial" w:hAnsi="Arial" w:cs="Arial"/>
          <w:b/>
          <w:bCs/>
          <w:sz w:val="20"/>
        </w:rPr>
      </w:pPr>
    </w:p>
    <w:p w14:paraId="67840BE0" w14:textId="77777777" w:rsidR="00CE6D41" w:rsidRPr="00D60E5E" w:rsidRDefault="0008592B">
      <w:pPr>
        <w:rPr>
          <w:rFonts w:ascii="Arial" w:hAnsi="Arial" w:cs="Arial"/>
          <w:b/>
          <w:bCs/>
          <w:sz w:val="20"/>
        </w:rPr>
      </w:pPr>
      <w:r w:rsidRPr="00D60E5E">
        <w:rPr>
          <w:rFonts w:ascii="Arial" w:hAnsi="Arial" w:cs="Arial"/>
          <w:b/>
          <w:bCs/>
          <w:sz w:val="20"/>
        </w:rPr>
        <w:t>Sicherheitsgehäuse</w:t>
      </w:r>
      <w:r w:rsidR="00CE6D41" w:rsidRPr="00D60E5E">
        <w:rPr>
          <w:rFonts w:ascii="Arial" w:hAnsi="Arial" w:cs="Arial"/>
          <w:b/>
          <w:bCs/>
          <w:sz w:val="20"/>
        </w:rPr>
        <w:t xml:space="preserve"> Typ </w:t>
      </w:r>
      <w:r w:rsidRPr="00D60E5E">
        <w:rPr>
          <w:rFonts w:ascii="Arial" w:hAnsi="Arial" w:cs="Arial"/>
          <w:b/>
          <w:bCs/>
          <w:sz w:val="20"/>
        </w:rPr>
        <w:t>QUBE</w:t>
      </w:r>
      <w:r w:rsidR="00E07561" w:rsidRPr="00D60E5E">
        <w:rPr>
          <w:rFonts w:ascii="Arial" w:hAnsi="Arial" w:cs="Arial"/>
          <w:b/>
          <w:bCs/>
          <w:sz w:val="20"/>
          <w:vertAlign w:val="superscript"/>
        </w:rPr>
        <w:t>®</w:t>
      </w:r>
      <w:r w:rsidR="00206862" w:rsidRPr="00D60E5E">
        <w:rPr>
          <w:rFonts w:ascii="Arial" w:hAnsi="Arial" w:cs="Arial"/>
          <w:b/>
          <w:bCs/>
          <w:sz w:val="20"/>
        </w:rPr>
        <w:t xml:space="preserve"> </w:t>
      </w:r>
      <w:r w:rsidR="00844162" w:rsidRPr="00D60E5E">
        <w:rPr>
          <w:rFonts w:ascii="Arial" w:hAnsi="Arial" w:cs="Arial"/>
          <w:b/>
          <w:bCs/>
          <w:sz w:val="20"/>
        </w:rPr>
        <w:t>–</w:t>
      </w:r>
      <w:r w:rsidR="00206862" w:rsidRPr="00D60E5E">
        <w:rPr>
          <w:rFonts w:ascii="Arial" w:hAnsi="Arial" w:cs="Arial"/>
          <w:b/>
          <w:bCs/>
          <w:sz w:val="20"/>
        </w:rPr>
        <w:t xml:space="preserve"> </w:t>
      </w:r>
      <w:r w:rsidR="00844162" w:rsidRPr="00D60E5E">
        <w:rPr>
          <w:rFonts w:ascii="Arial" w:hAnsi="Arial" w:cs="Arial"/>
          <w:b/>
          <w:bCs/>
          <w:sz w:val="20"/>
        </w:rPr>
        <w:t>Basis Plus</w:t>
      </w:r>
      <w:r w:rsidRPr="00D60E5E">
        <w:rPr>
          <w:rFonts w:ascii="Arial" w:hAnsi="Arial" w:cs="Arial"/>
          <w:b/>
          <w:bCs/>
          <w:sz w:val="20"/>
        </w:rPr>
        <w:t xml:space="preserve"> freistehendes </w:t>
      </w:r>
      <w:r w:rsidR="00CE6D41" w:rsidRPr="00D60E5E">
        <w:rPr>
          <w:rFonts w:ascii="Arial" w:hAnsi="Arial" w:cs="Arial"/>
          <w:b/>
          <w:bCs/>
          <w:sz w:val="20"/>
        </w:rPr>
        <w:t>Stand</w:t>
      </w:r>
      <w:r w:rsidR="00DA69EB" w:rsidRPr="00D60E5E">
        <w:rPr>
          <w:rFonts w:ascii="Arial" w:hAnsi="Arial" w:cs="Arial"/>
          <w:b/>
          <w:bCs/>
          <w:sz w:val="20"/>
        </w:rPr>
        <w:t>gehäuse</w:t>
      </w:r>
      <w:r w:rsidR="00CE6D41" w:rsidRPr="00D60E5E">
        <w:rPr>
          <w:rFonts w:ascii="Arial" w:hAnsi="Arial" w:cs="Arial"/>
          <w:b/>
          <w:bCs/>
          <w:sz w:val="20"/>
        </w:rPr>
        <w:t xml:space="preserve"> </w:t>
      </w:r>
    </w:p>
    <w:p w14:paraId="4FC87022" w14:textId="77777777" w:rsidR="0008592B" w:rsidRPr="00D60E5E" w:rsidRDefault="0008592B">
      <w:pPr>
        <w:rPr>
          <w:rFonts w:ascii="Arial" w:hAnsi="Arial" w:cs="Arial"/>
          <w:b/>
          <w:bCs/>
          <w:sz w:val="20"/>
        </w:rPr>
      </w:pPr>
    </w:p>
    <w:p w14:paraId="5782A76F" w14:textId="77777777" w:rsidR="00CE6D41" w:rsidRPr="00D60E5E" w:rsidRDefault="00CE6D41">
      <w:pPr>
        <w:numPr>
          <w:ilvl w:val="0"/>
          <w:numId w:val="3"/>
        </w:numPr>
        <w:jc w:val="both"/>
        <w:rPr>
          <w:rFonts w:ascii="Arial" w:hAnsi="Arial" w:cs="Arial"/>
          <w:sz w:val="20"/>
        </w:rPr>
      </w:pPr>
      <w:r w:rsidRPr="00D60E5E">
        <w:rPr>
          <w:rFonts w:ascii="Arial" w:hAnsi="Arial" w:cs="Arial"/>
          <w:sz w:val="20"/>
        </w:rPr>
        <w:t xml:space="preserve">mit einem geprüften Feuerwiderstand über 90 Minuten </w:t>
      </w:r>
    </w:p>
    <w:p w14:paraId="4A5E3A6B" w14:textId="77777777" w:rsidR="00CE6D41" w:rsidRPr="00D60E5E" w:rsidRDefault="00CE6D41">
      <w:pPr>
        <w:numPr>
          <w:ilvl w:val="0"/>
          <w:numId w:val="3"/>
        </w:numPr>
        <w:jc w:val="both"/>
        <w:rPr>
          <w:rFonts w:ascii="Arial" w:hAnsi="Arial" w:cs="Arial"/>
          <w:sz w:val="20"/>
        </w:rPr>
      </w:pPr>
      <w:r w:rsidRPr="00D60E5E">
        <w:rPr>
          <w:rFonts w:ascii="Arial" w:hAnsi="Arial" w:cs="Arial"/>
          <w:sz w:val="20"/>
        </w:rPr>
        <w:t xml:space="preserve">mit einer geprüften Brandlastdämmung über 90 Minuten </w:t>
      </w:r>
    </w:p>
    <w:p w14:paraId="1BF406B2" w14:textId="77777777" w:rsidR="0062197B" w:rsidRPr="00D60E5E" w:rsidRDefault="00977FD9">
      <w:pPr>
        <w:numPr>
          <w:ilvl w:val="0"/>
          <w:numId w:val="3"/>
        </w:numPr>
        <w:jc w:val="both"/>
        <w:rPr>
          <w:rFonts w:ascii="Arial" w:hAnsi="Arial" w:cs="Arial"/>
          <w:sz w:val="20"/>
        </w:rPr>
      </w:pPr>
      <w:r w:rsidRPr="00D60E5E">
        <w:rPr>
          <w:rFonts w:ascii="Arial" w:hAnsi="Arial" w:cs="Arial"/>
          <w:sz w:val="20"/>
        </w:rPr>
        <w:t>Funktionsprüfung</w:t>
      </w:r>
      <w:r w:rsidR="004621F9" w:rsidRPr="00D60E5E">
        <w:rPr>
          <w:rFonts w:ascii="Arial" w:hAnsi="Arial" w:cs="Arial"/>
          <w:sz w:val="20"/>
        </w:rPr>
        <w:t xml:space="preserve"> </w:t>
      </w:r>
      <w:r w:rsidR="00CE02BF" w:rsidRPr="00D60E5E">
        <w:rPr>
          <w:rFonts w:ascii="Arial" w:hAnsi="Arial" w:cs="Arial"/>
          <w:sz w:val="20"/>
        </w:rPr>
        <w:t xml:space="preserve">mithilfe von Propagationsversuchen </w:t>
      </w:r>
      <w:r w:rsidRPr="00D60E5E">
        <w:rPr>
          <w:rFonts w:ascii="Arial" w:hAnsi="Arial" w:cs="Arial"/>
          <w:sz w:val="20"/>
        </w:rPr>
        <w:t>an einem offiziellen Prüfinstitut</w:t>
      </w:r>
    </w:p>
    <w:p w14:paraId="7BB19CBF" w14:textId="77777777" w:rsidR="00CE6D41" w:rsidRPr="00D60E5E" w:rsidRDefault="00CE6D41">
      <w:pPr>
        <w:jc w:val="both"/>
        <w:rPr>
          <w:rFonts w:ascii="Arial" w:hAnsi="Arial" w:cs="Arial"/>
          <w:b/>
          <w:bCs/>
          <w:sz w:val="20"/>
        </w:rPr>
      </w:pPr>
    </w:p>
    <w:p w14:paraId="67D75388" w14:textId="77777777" w:rsidR="00CE6D41" w:rsidRPr="00D60E5E" w:rsidRDefault="00CE6D41">
      <w:pPr>
        <w:jc w:val="both"/>
        <w:rPr>
          <w:rFonts w:ascii="Arial" w:hAnsi="Arial" w:cs="Arial"/>
          <w:b/>
          <w:bCs/>
          <w:sz w:val="20"/>
        </w:rPr>
      </w:pPr>
      <w:r w:rsidRPr="00D60E5E">
        <w:rPr>
          <w:rFonts w:ascii="Arial" w:hAnsi="Arial" w:cs="Arial"/>
          <w:b/>
          <w:bCs/>
          <w:sz w:val="20"/>
        </w:rPr>
        <w:t xml:space="preserve">Maße und technische Daten </w:t>
      </w:r>
    </w:p>
    <w:p w14:paraId="4AAC63E5" w14:textId="77777777" w:rsidR="00476C61" w:rsidRPr="00D60E5E" w:rsidRDefault="00476C61" w:rsidP="00476C61">
      <w:pPr>
        <w:ind w:left="708"/>
        <w:jc w:val="both"/>
        <w:rPr>
          <w:rFonts w:ascii="Arial" w:hAnsi="Arial" w:cs="Arial"/>
          <w:sz w:val="20"/>
        </w:rPr>
      </w:pPr>
    </w:p>
    <w:p w14:paraId="528119B6" w14:textId="77777777" w:rsidR="00476C61" w:rsidRPr="00D60E5E" w:rsidRDefault="00476C61" w:rsidP="00476C61">
      <w:pPr>
        <w:numPr>
          <w:ilvl w:val="0"/>
          <w:numId w:val="3"/>
        </w:numPr>
        <w:jc w:val="both"/>
        <w:rPr>
          <w:rFonts w:ascii="Arial" w:hAnsi="Arial" w:cs="Arial"/>
          <w:b/>
          <w:bCs/>
          <w:sz w:val="20"/>
        </w:rPr>
      </w:pPr>
      <w:r w:rsidRPr="00D60E5E">
        <w:rPr>
          <w:rFonts w:ascii="Arial" w:hAnsi="Arial" w:cs="Arial"/>
          <w:b/>
          <w:bCs/>
          <w:sz w:val="20"/>
        </w:rPr>
        <w:t xml:space="preserve">Typ </w:t>
      </w:r>
      <w:r w:rsidR="0008592B" w:rsidRPr="00D60E5E">
        <w:rPr>
          <w:rFonts w:ascii="Arial" w:hAnsi="Arial" w:cs="Arial"/>
          <w:b/>
          <w:bCs/>
          <w:sz w:val="20"/>
        </w:rPr>
        <w:t>QUBE</w:t>
      </w:r>
      <w:r w:rsidR="00CE02BF" w:rsidRPr="00D60E5E">
        <w:rPr>
          <w:rFonts w:ascii="Arial" w:hAnsi="Arial" w:cs="Arial"/>
          <w:b/>
          <w:bCs/>
          <w:sz w:val="20"/>
          <w:vertAlign w:val="superscript"/>
        </w:rPr>
        <w:t>®</w:t>
      </w:r>
      <w:r w:rsidR="00BC6A97" w:rsidRPr="00D60E5E">
        <w:rPr>
          <w:rFonts w:ascii="Arial" w:hAnsi="Arial" w:cs="Arial"/>
          <w:b/>
          <w:bCs/>
          <w:sz w:val="20"/>
        </w:rPr>
        <w:t xml:space="preserve"> – Basis Plus</w:t>
      </w:r>
      <w:r w:rsidR="0008592B" w:rsidRPr="00D60E5E">
        <w:rPr>
          <w:rFonts w:ascii="Arial" w:hAnsi="Arial" w:cs="Arial"/>
          <w:b/>
          <w:bCs/>
          <w:sz w:val="20"/>
        </w:rPr>
        <w:t xml:space="preserve"> Sicherheitsgehäuse für Batterien, eintürig</w:t>
      </w:r>
    </w:p>
    <w:p w14:paraId="3DC44CEF" w14:textId="77777777" w:rsidR="00476C61" w:rsidRPr="00D60E5E" w:rsidRDefault="00476C61" w:rsidP="00476C61">
      <w:pPr>
        <w:pStyle w:val="berschrift3"/>
      </w:pPr>
      <w:r w:rsidRPr="00D60E5E">
        <w:t xml:space="preserve">Außenmaß in mm </w:t>
      </w:r>
      <w:r w:rsidRPr="00D60E5E">
        <w:tab/>
      </w:r>
      <w:r w:rsidRPr="00D60E5E">
        <w:tab/>
        <w:t xml:space="preserve">Innenmaß in mm </w:t>
      </w:r>
      <w:r w:rsidRPr="00D60E5E">
        <w:tab/>
      </w:r>
      <w:r w:rsidRPr="00D60E5E">
        <w:tab/>
        <w:t xml:space="preserve">  </w:t>
      </w:r>
    </w:p>
    <w:p w14:paraId="2EC8434B" w14:textId="77777777" w:rsidR="00476C61" w:rsidRPr="00D60E5E" w:rsidRDefault="00476C61" w:rsidP="00476C61">
      <w:pPr>
        <w:ind w:left="708"/>
        <w:jc w:val="both"/>
        <w:rPr>
          <w:rFonts w:ascii="Arial" w:hAnsi="Arial" w:cs="Arial"/>
          <w:sz w:val="20"/>
          <w:lang w:val="fr-FR"/>
        </w:rPr>
      </w:pPr>
      <w:r w:rsidRPr="00D60E5E">
        <w:rPr>
          <w:rFonts w:ascii="Arial" w:hAnsi="Arial" w:cs="Arial"/>
          <w:sz w:val="20"/>
          <w:lang w:val="fr-FR"/>
        </w:rPr>
        <w:t xml:space="preserve">H </w:t>
      </w:r>
      <w:r w:rsidR="00206862" w:rsidRPr="00D60E5E">
        <w:rPr>
          <w:rFonts w:ascii="Arial" w:hAnsi="Arial" w:cs="Arial"/>
          <w:sz w:val="20"/>
          <w:lang w:val="fr-FR"/>
        </w:rPr>
        <w:t>600</w:t>
      </w:r>
      <w:r w:rsidRPr="00D60E5E">
        <w:rPr>
          <w:rFonts w:ascii="Arial" w:hAnsi="Arial" w:cs="Arial"/>
          <w:sz w:val="20"/>
          <w:lang w:val="fr-FR"/>
        </w:rPr>
        <w:tab/>
        <w:t xml:space="preserve">B </w:t>
      </w:r>
      <w:r w:rsidR="00206862" w:rsidRPr="00D60E5E">
        <w:rPr>
          <w:rFonts w:ascii="Arial" w:hAnsi="Arial" w:cs="Arial"/>
          <w:sz w:val="20"/>
          <w:lang w:val="fr-FR"/>
        </w:rPr>
        <w:t>600</w:t>
      </w:r>
      <w:r w:rsidR="00954895" w:rsidRPr="00D60E5E">
        <w:rPr>
          <w:rFonts w:ascii="Arial" w:hAnsi="Arial" w:cs="Arial"/>
          <w:sz w:val="20"/>
          <w:lang w:val="fr-FR"/>
        </w:rPr>
        <w:t>*</w:t>
      </w:r>
      <w:r w:rsidR="00054CF2" w:rsidRPr="00D60E5E">
        <w:rPr>
          <w:rFonts w:ascii="Arial" w:hAnsi="Arial" w:cs="Arial"/>
          <w:sz w:val="20"/>
          <w:lang w:val="fr-FR"/>
        </w:rPr>
        <w:t xml:space="preserve"> </w:t>
      </w:r>
      <w:r w:rsidRPr="00D60E5E">
        <w:rPr>
          <w:rFonts w:ascii="Arial" w:hAnsi="Arial" w:cs="Arial"/>
          <w:sz w:val="20"/>
          <w:lang w:val="fr-FR"/>
        </w:rPr>
        <w:t xml:space="preserve"> T </w:t>
      </w:r>
      <w:r w:rsidR="00206862" w:rsidRPr="00D60E5E">
        <w:rPr>
          <w:rFonts w:ascii="Arial" w:hAnsi="Arial" w:cs="Arial"/>
          <w:sz w:val="20"/>
          <w:lang w:val="fr-FR"/>
        </w:rPr>
        <w:t>600</w:t>
      </w:r>
      <w:r w:rsidRPr="00D60E5E">
        <w:rPr>
          <w:rFonts w:ascii="Arial" w:hAnsi="Arial" w:cs="Arial"/>
          <w:sz w:val="20"/>
          <w:lang w:val="fr-FR"/>
        </w:rPr>
        <w:t xml:space="preserve"> </w:t>
      </w:r>
      <w:r w:rsidRPr="00D60E5E">
        <w:rPr>
          <w:rFonts w:ascii="Arial" w:hAnsi="Arial" w:cs="Arial"/>
          <w:sz w:val="20"/>
          <w:lang w:val="fr-FR"/>
        </w:rPr>
        <w:tab/>
      </w:r>
      <w:r w:rsidR="00D11F23" w:rsidRPr="00D60E5E">
        <w:rPr>
          <w:rFonts w:ascii="Arial" w:hAnsi="Arial" w:cs="Arial"/>
          <w:sz w:val="20"/>
          <w:lang w:val="fr-FR"/>
        </w:rPr>
        <w:tab/>
      </w:r>
      <w:r w:rsidRPr="00D60E5E">
        <w:rPr>
          <w:rFonts w:ascii="Arial" w:hAnsi="Arial" w:cs="Arial"/>
          <w:sz w:val="20"/>
          <w:lang w:val="fr-FR"/>
        </w:rPr>
        <w:t xml:space="preserve">H </w:t>
      </w:r>
      <w:r w:rsidR="00206862" w:rsidRPr="00D60E5E">
        <w:rPr>
          <w:rFonts w:ascii="Arial" w:hAnsi="Arial" w:cs="Arial"/>
          <w:sz w:val="20"/>
          <w:lang w:val="fr-FR"/>
        </w:rPr>
        <w:t>343</w:t>
      </w:r>
      <w:r w:rsidR="00054CF2" w:rsidRPr="00D60E5E">
        <w:rPr>
          <w:rFonts w:ascii="Arial" w:hAnsi="Arial" w:cs="Arial"/>
          <w:sz w:val="20"/>
          <w:lang w:val="fr-FR"/>
        </w:rPr>
        <w:t xml:space="preserve"> </w:t>
      </w:r>
      <w:r w:rsidRPr="00D60E5E">
        <w:rPr>
          <w:rFonts w:ascii="Arial" w:hAnsi="Arial" w:cs="Arial"/>
          <w:sz w:val="20"/>
          <w:lang w:val="fr-FR"/>
        </w:rPr>
        <w:t xml:space="preserve"> B </w:t>
      </w:r>
      <w:r w:rsidR="00206862" w:rsidRPr="00D60E5E">
        <w:rPr>
          <w:rFonts w:ascii="Arial" w:hAnsi="Arial" w:cs="Arial"/>
          <w:sz w:val="20"/>
          <w:lang w:val="fr-FR"/>
        </w:rPr>
        <w:t xml:space="preserve">458 </w:t>
      </w:r>
      <w:r w:rsidRPr="00D60E5E">
        <w:rPr>
          <w:rFonts w:ascii="Arial" w:hAnsi="Arial" w:cs="Arial"/>
          <w:sz w:val="20"/>
          <w:lang w:val="fr-FR"/>
        </w:rPr>
        <w:t xml:space="preserve"> T </w:t>
      </w:r>
      <w:r w:rsidR="00206862" w:rsidRPr="00D60E5E">
        <w:rPr>
          <w:rFonts w:ascii="Arial" w:hAnsi="Arial" w:cs="Arial"/>
          <w:sz w:val="20"/>
          <w:lang w:val="fr-FR"/>
        </w:rPr>
        <w:t>458</w:t>
      </w:r>
      <w:r w:rsidRPr="00D60E5E">
        <w:rPr>
          <w:rFonts w:ascii="Arial" w:hAnsi="Arial" w:cs="Arial"/>
          <w:sz w:val="20"/>
          <w:lang w:val="fr-FR"/>
        </w:rPr>
        <w:tab/>
      </w:r>
      <w:r w:rsidRPr="00D60E5E">
        <w:rPr>
          <w:rFonts w:ascii="Arial" w:hAnsi="Arial" w:cs="Arial"/>
          <w:sz w:val="20"/>
          <w:lang w:val="fr-FR"/>
        </w:rPr>
        <w:tab/>
      </w:r>
      <w:r w:rsidRPr="00D60E5E">
        <w:rPr>
          <w:rFonts w:ascii="Arial" w:hAnsi="Arial" w:cs="Arial"/>
          <w:sz w:val="20"/>
          <w:lang w:val="fr-FR"/>
        </w:rPr>
        <w:tab/>
      </w:r>
    </w:p>
    <w:p w14:paraId="53CA5F40" w14:textId="77777777" w:rsidR="00CE02BF" w:rsidRPr="00D60E5E" w:rsidRDefault="00476C61" w:rsidP="002A2FDE">
      <w:pPr>
        <w:ind w:left="708"/>
        <w:jc w:val="both"/>
        <w:rPr>
          <w:rFonts w:ascii="Arial" w:hAnsi="Arial" w:cs="Arial"/>
          <w:sz w:val="20"/>
        </w:rPr>
      </w:pPr>
      <w:r w:rsidRPr="00D60E5E">
        <w:rPr>
          <w:rFonts w:ascii="Arial" w:hAnsi="Arial" w:cs="Arial"/>
          <w:sz w:val="20"/>
        </w:rPr>
        <w:t>Gewicht ca.</w:t>
      </w:r>
      <w:r w:rsidR="00646499" w:rsidRPr="00D60E5E">
        <w:rPr>
          <w:rFonts w:ascii="Arial" w:hAnsi="Arial" w:cs="Arial"/>
          <w:sz w:val="20"/>
        </w:rPr>
        <w:t xml:space="preserve"> </w:t>
      </w:r>
      <w:r w:rsidR="00206862" w:rsidRPr="00D60E5E">
        <w:rPr>
          <w:rFonts w:ascii="Arial" w:hAnsi="Arial" w:cs="Arial"/>
          <w:sz w:val="20"/>
        </w:rPr>
        <w:t>98</w:t>
      </w:r>
      <w:r w:rsidR="00BE6B3F" w:rsidRPr="00D60E5E">
        <w:rPr>
          <w:rFonts w:ascii="Arial" w:hAnsi="Arial" w:cs="Arial"/>
          <w:sz w:val="20"/>
        </w:rPr>
        <w:t xml:space="preserve"> kg</w:t>
      </w:r>
      <w:r w:rsidR="00206862" w:rsidRPr="00D60E5E">
        <w:rPr>
          <w:rFonts w:ascii="Arial" w:hAnsi="Arial" w:cs="Arial"/>
          <w:sz w:val="20"/>
        </w:rPr>
        <w:t>*</w:t>
      </w:r>
      <w:r w:rsidR="002A2FDE" w:rsidRPr="00D60E5E">
        <w:rPr>
          <w:rFonts w:ascii="Arial" w:hAnsi="Arial" w:cs="Arial"/>
          <w:sz w:val="20"/>
        </w:rPr>
        <w:t xml:space="preserve">                                                        </w:t>
      </w:r>
    </w:p>
    <w:p w14:paraId="15B4ED46" w14:textId="77777777" w:rsidR="00CE02BF" w:rsidRPr="00D60E5E" w:rsidRDefault="00CE02BF" w:rsidP="002A2FDE">
      <w:pPr>
        <w:ind w:left="708"/>
        <w:jc w:val="both"/>
        <w:rPr>
          <w:rFonts w:ascii="Arial" w:hAnsi="Arial" w:cs="Arial"/>
          <w:sz w:val="20"/>
        </w:rPr>
      </w:pPr>
    </w:p>
    <w:p w14:paraId="58FF53CB" w14:textId="77777777" w:rsidR="00206862" w:rsidRPr="00D60E5E" w:rsidRDefault="00206862" w:rsidP="002A2FDE">
      <w:pPr>
        <w:ind w:left="708"/>
        <w:jc w:val="both"/>
        <w:rPr>
          <w:rFonts w:ascii="Arial" w:hAnsi="Arial" w:cs="Arial"/>
          <w:sz w:val="20"/>
        </w:rPr>
      </w:pPr>
      <w:r w:rsidRPr="00D60E5E">
        <w:rPr>
          <w:rFonts w:ascii="Arial" w:hAnsi="Arial" w:cs="Arial"/>
          <w:sz w:val="18"/>
          <w:szCs w:val="22"/>
        </w:rPr>
        <w:t xml:space="preserve">*ohne </w:t>
      </w:r>
      <w:r w:rsidR="00954895" w:rsidRPr="00D60E5E">
        <w:rPr>
          <w:rFonts w:ascii="Arial" w:hAnsi="Arial" w:cs="Arial"/>
          <w:sz w:val="18"/>
          <w:szCs w:val="22"/>
        </w:rPr>
        <w:t>Löschmittelbehälter</w:t>
      </w:r>
    </w:p>
    <w:p w14:paraId="563E89E2" w14:textId="77777777" w:rsidR="00A067FF" w:rsidRPr="00D60E5E" w:rsidRDefault="00A067FF">
      <w:pPr>
        <w:jc w:val="both"/>
        <w:rPr>
          <w:rFonts w:ascii="Arial" w:hAnsi="Arial" w:cs="Arial"/>
          <w:b/>
          <w:bCs/>
          <w:sz w:val="20"/>
        </w:rPr>
      </w:pPr>
    </w:p>
    <w:p w14:paraId="383C7599" w14:textId="77777777" w:rsidR="00CE6D41" w:rsidRPr="00D60E5E" w:rsidRDefault="00CE6D41">
      <w:pPr>
        <w:jc w:val="both"/>
        <w:rPr>
          <w:rFonts w:ascii="Arial" w:hAnsi="Arial" w:cs="Arial"/>
          <w:b/>
          <w:bCs/>
          <w:sz w:val="20"/>
        </w:rPr>
      </w:pPr>
      <w:r w:rsidRPr="00D60E5E">
        <w:rPr>
          <w:rFonts w:ascii="Arial" w:hAnsi="Arial" w:cs="Arial"/>
          <w:b/>
          <w:bCs/>
          <w:sz w:val="20"/>
        </w:rPr>
        <w:t>Gehäuse</w:t>
      </w:r>
    </w:p>
    <w:p w14:paraId="027847E7" w14:textId="77777777" w:rsidR="00CE6D41" w:rsidRPr="00D60E5E" w:rsidRDefault="00A13692">
      <w:pPr>
        <w:ind w:left="360"/>
        <w:jc w:val="both"/>
        <w:rPr>
          <w:rFonts w:ascii="Arial" w:hAnsi="Arial" w:cs="Arial"/>
          <w:sz w:val="20"/>
        </w:rPr>
      </w:pPr>
      <w:r w:rsidRPr="00D60E5E">
        <w:rPr>
          <w:rFonts w:ascii="Arial" w:hAnsi="Arial" w:cs="Arial"/>
          <w:sz w:val="20"/>
        </w:rPr>
        <w:t xml:space="preserve"> </w:t>
      </w:r>
    </w:p>
    <w:p w14:paraId="5B6B09CF" w14:textId="77777777" w:rsidR="00CE6D41" w:rsidRPr="00D60E5E" w:rsidRDefault="00151DD1">
      <w:pPr>
        <w:numPr>
          <w:ilvl w:val="0"/>
          <w:numId w:val="3"/>
        </w:numPr>
        <w:jc w:val="both"/>
        <w:rPr>
          <w:rFonts w:ascii="Arial" w:hAnsi="Arial" w:cs="Arial"/>
          <w:sz w:val="20"/>
        </w:rPr>
      </w:pPr>
      <w:r w:rsidRPr="00D60E5E">
        <w:rPr>
          <w:rFonts w:ascii="Arial" w:hAnsi="Arial" w:cs="Arial"/>
          <w:sz w:val="20"/>
        </w:rPr>
        <w:t>Gehäuseverschluss</w:t>
      </w:r>
      <w:r w:rsidR="00CE6D41" w:rsidRPr="00D60E5E">
        <w:rPr>
          <w:rFonts w:ascii="Arial" w:hAnsi="Arial" w:cs="Arial"/>
          <w:sz w:val="20"/>
        </w:rPr>
        <w:t xml:space="preserve"> mit </w:t>
      </w:r>
      <w:r w:rsidR="00130807" w:rsidRPr="00D60E5E">
        <w:rPr>
          <w:rFonts w:ascii="Arial" w:hAnsi="Arial" w:cs="Arial"/>
          <w:sz w:val="20"/>
        </w:rPr>
        <w:t>schmaler Umleimer</w:t>
      </w:r>
      <w:r w:rsidR="00DF2E1E" w:rsidRPr="00D60E5E">
        <w:rPr>
          <w:rFonts w:ascii="Arial" w:hAnsi="Arial" w:cs="Arial"/>
          <w:sz w:val="20"/>
        </w:rPr>
        <w:t>-Kante</w:t>
      </w:r>
      <w:r w:rsidR="00A067FF" w:rsidRPr="00D60E5E">
        <w:rPr>
          <w:rFonts w:ascii="Arial" w:hAnsi="Arial" w:cs="Arial"/>
          <w:sz w:val="20"/>
          <w:szCs w:val="20"/>
        </w:rPr>
        <w:t xml:space="preserve"> zum Schutz gegen Stoßbelastung an der Kante</w:t>
      </w:r>
    </w:p>
    <w:p w14:paraId="34644070" w14:textId="77777777" w:rsidR="00977FD9" w:rsidRPr="00D60E5E" w:rsidRDefault="00844162">
      <w:pPr>
        <w:numPr>
          <w:ilvl w:val="0"/>
          <w:numId w:val="3"/>
        </w:numPr>
        <w:jc w:val="both"/>
        <w:rPr>
          <w:rFonts w:ascii="Arial" w:hAnsi="Arial" w:cs="Arial"/>
          <w:sz w:val="20"/>
        </w:rPr>
      </w:pPr>
      <w:r w:rsidRPr="00D60E5E">
        <w:rPr>
          <w:rFonts w:ascii="Arial" w:hAnsi="Arial" w:cs="Arial"/>
          <w:sz w:val="20"/>
          <w:szCs w:val="20"/>
        </w:rPr>
        <w:t xml:space="preserve">Abschließbarer Verschluss </w:t>
      </w:r>
    </w:p>
    <w:p w14:paraId="0508EB4C" w14:textId="77777777" w:rsidR="00054CF2" w:rsidRPr="00D60E5E" w:rsidRDefault="00054CF2">
      <w:pPr>
        <w:numPr>
          <w:ilvl w:val="0"/>
          <w:numId w:val="3"/>
        </w:numPr>
        <w:jc w:val="both"/>
        <w:rPr>
          <w:rFonts w:ascii="Arial" w:hAnsi="Arial" w:cs="Arial"/>
          <w:sz w:val="20"/>
        </w:rPr>
      </w:pPr>
      <w:r w:rsidRPr="00D60E5E">
        <w:rPr>
          <w:rFonts w:ascii="Arial" w:hAnsi="Arial" w:cs="Arial"/>
          <w:sz w:val="20"/>
          <w:szCs w:val="20"/>
        </w:rPr>
        <w:t>Selbstschließend durch Spezialscharnier</w:t>
      </w:r>
    </w:p>
    <w:p w14:paraId="42377795" w14:textId="77777777" w:rsidR="00CE02BF" w:rsidRPr="00D60E5E" w:rsidRDefault="00CE02BF" w:rsidP="00CE02BF">
      <w:pPr>
        <w:numPr>
          <w:ilvl w:val="0"/>
          <w:numId w:val="3"/>
        </w:numPr>
        <w:jc w:val="both"/>
        <w:rPr>
          <w:rFonts w:ascii="Arial" w:hAnsi="Arial" w:cs="Arial"/>
          <w:b/>
          <w:bCs/>
          <w:sz w:val="20"/>
        </w:rPr>
      </w:pPr>
      <w:r w:rsidRPr="00D60E5E">
        <w:rPr>
          <w:rFonts w:ascii="Arial" w:hAnsi="Arial" w:cs="Arial"/>
          <w:sz w:val="20"/>
          <w:szCs w:val="20"/>
        </w:rPr>
        <w:t>Automatisches Lösch- und Kühlsystem in Verbindung mit einer Innenraumtemperaturüberwachung, besonders geeignet für Lithium Batterien</w:t>
      </w:r>
    </w:p>
    <w:p w14:paraId="64F37913" w14:textId="77777777" w:rsidR="00CE02BF" w:rsidRPr="00D60E5E" w:rsidRDefault="00CE02BF" w:rsidP="00CE02BF">
      <w:pPr>
        <w:numPr>
          <w:ilvl w:val="0"/>
          <w:numId w:val="3"/>
        </w:numPr>
        <w:jc w:val="both"/>
        <w:rPr>
          <w:rFonts w:ascii="Arial" w:hAnsi="Arial" w:cs="Arial"/>
          <w:sz w:val="20"/>
        </w:rPr>
      </w:pPr>
      <w:r w:rsidRPr="00D60E5E">
        <w:rPr>
          <w:rFonts w:ascii="Arial" w:hAnsi="Arial" w:cs="Arial"/>
          <w:sz w:val="20"/>
          <w:szCs w:val="20"/>
        </w:rPr>
        <w:t>9l Löschmittelbehälter aus Qualitätsstahlblech mit korrosionsbeständiger Polyesterharz-Beschichtung, Manometer, Halterung und zweisprachiger Inbetriebnahme- und Wartungsanweisung (</w:t>
      </w:r>
      <w:proofErr w:type="spellStart"/>
      <w:r w:rsidRPr="00D60E5E">
        <w:rPr>
          <w:rFonts w:ascii="Arial" w:hAnsi="Arial" w:cs="Arial"/>
          <w:sz w:val="20"/>
          <w:szCs w:val="20"/>
        </w:rPr>
        <w:t>deu</w:t>
      </w:r>
      <w:proofErr w:type="spellEnd"/>
      <w:r w:rsidRPr="00D60E5E">
        <w:rPr>
          <w:rFonts w:ascii="Arial" w:hAnsi="Arial" w:cs="Arial"/>
          <w:sz w:val="20"/>
          <w:szCs w:val="20"/>
        </w:rPr>
        <w:t>/eng)</w:t>
      </w:r>
    </w:p>
    <w:p w14:paraId="6B78C7F5" w14:textId="77777777" w:rsidR="00CE02BF" w:rsidRPr="00D60E5E" w:rsidRDefault="00CE02BF" w:rsidP="00CE02BF">
      <w:pPr>
        <w:numPr>
          <w:ilvl w:val="0"/>
          <w:numId w:val="3"/>
        </w:numPr>
        <w:jc w:val="both"/>
        <w:rPr>
          <w:rFonts w:ascii="Arial" w:hAnsi="Arial" w:cs="Arial"/>
          <w:sz w:val="20"/>
        </w:rPr>
      </w:pPr>
      <w:r w:rsidRPr="00D60E5E">
        <w:rPr>
          <w:rFonts w:ascii="Arial" w:hAnsi="Arial" w:cs="Arial"/>
          <w:sz w:val="20"/>
          <w:szCs w:val="20"/>
        </w:rPr>
        <w:t>Umweltfreundliches Löschmittel (flu</w:t>
      </w:r>
      <w:r w:rsidR="00A70F01">
        <w:rPr>
          <w:rFonts w:ascii="Arial" w:hAnsi="Arial" w:cs="Arial"/>
          <w:sz w:val="20"/>
          <w:szCs w:val="20"/>
        </w:rPr>
        <w:t>o</w:t>
      </w:r>
      <w:r w:rsidRPr="00D60E5E">
        <w:rPr>
          <w:rFonts w:ascii="Arial" w:hAnsi="Arial" w:cs="Arial"/>
          <w:sz w:val="20"/>
          <w:szCs w:val="20"/>
        </w:rPr>
        <w:t>rfrei)</w:t>
      </w:r>
    </w:p>
    <w:p w14:paraId="139BFE17" w14:textId="77777777" w:rsidR="00CE02BF" w:rsidRPr="00D60E5E" w:rsidRDefault="00CE02BF" w:rsidP="00CE02BF">
      <w:pPr>
        <w:numPr>
          <w:ilvl w:val="0"/>
          <w:numId w:val="3"/>
        </w:numPr>
        <w:jc w:val="both"/>
        <w:rPr>
          <w:rFonts w:ascii="Arial" w:hAnsi="Arial" w:cs="Arial"/>
          <w:sz w:val="20"/>
        </w:rPr>
      </w:pPr>
      <w:r w:rsidRPr="00D60E5E">
        <w:rPr>
          <w:rFonts w:ascii="Arial" w:hAnsi="Arial" w:cs="Arial"/>
          <w:sz w:val="20"/>
          <w:szCs w:val="20"/>
        </w:rPr>
        <w:t>Korrosionsbeständige Löschmittelbodenwanne (entnehmbar)</w:t>
      </w:r>
    </w:p>
    <w:p w14:paraId="626F6409" w14:textId="77777777" w:rsidR="00CE02BF" w:rsidRPr="00D60E5E" w:rsidRDefault="00CE02BF" w:rsidP="00CE02BF">
      <w:pPr>
        <w:numPr>
          <w:ilvl w:val="0"/>
          <w:numId w:val="3"/>
        </w:numPr>
        <w:jc w:val="both"/>
        <w:rPr>
          <w:rFonts w:ascii="Arial" w:hAnsi="Arial" w:cs="Arial"/>
          <w:sz w:val="20"/>
        </w:rPr>
      </w:pPr>
      <w:r w:rsidRPr="00D60E5E">
        <w:rPr>
          <w:rFonts w:ascii="Arial" w:hAnsi="Arial" w:cs="Arial"/>
          <w:sz w:val="20"/>
          <w:szCs w:val="20"/>
        </w:rPr>
        <w:t xml:space="preserve">Lüftungssystem zum Wärmeabtransport während des Ladevorganges, selbstschließend im Brandfall </w:t>
      </w:r>
    </w:p>
    <w:p w14:paraId="665DA980" w14:textId="77777777" w:rsidR="00B551F2" w:rsidRPr="00D60E5E" w:rsidRDefault="00B551F2" w:rsidP="00B551F2">
      <w:pPr>
        <w:numPr>
          <w:ilvl w:val="0"/>
          <w:numId w:val="3"/>
        </w:numPr>
        <w:jc w:val="both"/>
        <w:rPr>
          <w:rFonts w:ascii="Arial" w:hAnsi="Arial" w:cs="Arial"/>
          <w:sz w:val="20"/>
        </w:rPr>
      </w:pPr>
      <w:r w:rsidRPr="00D60E5E">
        <w:rPr>
          <w:rFonts w:ascii="Arial" w:hAnsi="Arial" w:cs="Arial"/>
          <w:sz w:val="20"/>
        </w:rPr>
        <w:t>Stichflammenschutz</w:t>
      </w:r>
    </w:p>
    <w:p w14:paraId="323C737C" w14:textId="77777777" w:rsidR="00A86EF1" w:rsidRPr="00D60E5E" w:rsidRDefault="0062197B" w:rsidP="00A86EF1">
      <w:pPr>
        <w:numPr>
          <w:ilvl w:val="0"/>
          <w:numId w:val="3"/>
        </w:numPr>
        <w:jc w:val="both"/>
        <w:rPr>
          <w:rFonts w:ascii="Arial" w:hAnsi="Arial" w:cs="Arial"/>
          <w:sz w:val="20"/>
        </w:rPr>
      </w:pPr>
      <w:r w:rsidRPr="00D60E5E">
        <w:rPr>
          <w:rFonts w:ascii="Arial" w:hAnsi="Arial" w:cs="Arial"/>
          <w:sz w:val="20"/>
        </w:rPr>
        <w:t xml:space="preserve">Feuerdicht mit umlaufender Dichtung zur Behinderung des </w:t>
      </w:r>
      <w:proofErr w:type="spellStart"/>
      <w:r w:rsidRPr="00D60E5E">
        <w:rPr>
          <w:rFonts w:ascii="Arial" w:hAnsi="Arial" w:cs="Arial"/>
          <w:sz w:val="20"/>
        </w:rPr>
        <w:t>Rauchdurchtritts</w:t>
      </w:r>
      <w:proofErr w:type="spellEnd"/>
      <w:r w:rsidRPr="00D60E5E">
        <w:rPr>
          <w:rFonts w:ascii="Arial" w:hAnsi="Arial" w:cs="Arial"/>
          <w:sz w:val="20"/>
        </w:rPr>
        <w:t xml:space="preserve"> </w:t>
      </w:r>
    </w:p>
    <w:p w14:paraId="542729AC" w14:textId="77777777" w:rsidR="00CE6D41" w:rsidRPr="00D60E5E" w:rsidRDefault="00A86EF1" w:rsidP="00A86EF1">
      <w:pPr>
        <w:numPr>
          <w:ilvl w:val="0"/>
          <w:numId w:val="3"/>
        </w:numPr>
        <w:jc w:val="both"/>
        <w:rPr>
          <w:rFonts w:ascii="Arial" w:hAnsi="Arial" w:cs="Arial"/>
          <w:sz w:val="20"/>
        </w:rPr>
      </w:pPr>
      <w:r w:rsidRPr="00D60E5E">
        <w:rPr>
          <w:rFonts w:ascii="Arial" w:hAnsi="Arial" w:cs="Arial"/>
          <w:sz w:val="20"/>
        </w:rPr>
        <w:t>Im Brandfall geprüft mit Löschsystem, Lüftungssystem und integriertem Kabelschott</w:t>
      </w:r>
    </w:p>
    <w:p w14:paraId="7D768C37" w14:textId="77777777" w:rsidR="00DA3048" w:rsidRPr="00D60E5E" w:rsidRDefault="00DA3048">
      <w:pPr>
        <w:numPr>
          <w:ilvl w:val="0"/>
          <w:numId w:val="3"/>
        </w:numPr>
        <w:jc w:val="both"/>
        <w:rPr>
          <w:rFonts w:ascii="Arial" w:hAnsi="Arial" w:cs="Arial"/>
          <w:sz w:val="20"/>
        </w:rPr>
      </w:pPr>
      <w:r w:rsidRPr="00D60E5E">
        <w:rPr>
          <w:rFonts w:ascii="Arial" w:hAnsi="Arial" w:cs="Arial"/>
          <w:sz w:val="20"/>
        </w:rPr>
        <w:t>3-fach Steckdose zum Laden der Batterien inkl. Abschaltfunktion bei Erreichen der kritischen Temperatur</w:t>
      </w:r>
    </w:p>
    <w:p w14:paraId="47EE06ED" w14:textId="77777777" w:rsidR="00B551F2" w:rsidRPr="00D60E5E" w:rsidRDefault="00B551F2">
      <w:pPr>
        <w:numPr>
          <w:ilvl w:val="0"/>
          <w:numId w:val="3"/>
        </w:numPr>
        <w:jc w:val="both"/>
        <w:rPr>
          <w:rFonts w:ascii="Arial" w:hAnsi="Arial" w:cs="Arial"/>
          <w:sz w:val="20"/>
        </w:rPr>
      </w:pPr>
      <w:r w:rsidRPr="00D60E5E">
        <w:rPr>
          <w:rFonts w:ascii="Arial" w:hAnsi="Arial" w:cs="Arial"/>
          <w:sz w:val="20"/>
        </w:rPr>
        <w:t xml:space="preserve">Mit Standard – Kabeleinführungen, z. B. </w:t>
      </w:r>
      <w:r w:rsidR="00DA3048" w:rsidRPr="00D60E5E">
        <w:rPr>
          <w:rFonts w:ascii="Arial" w:hAnsi="Arial" w:cs="Arial"/>
          <w:sz w:val="20"/>
        </w:rPr>
        <w:t>1</w:t>
      </w:r>
      <w:r w:rsidRPr="00D60E5E">
        <w:rPr>
          <w:rFonts w:ascii="Arial" w:hAnsi="Arial" w:cs="Arial"/>
          <w:sz w:val="20"/>
        </w:rPr>
        <w:t xml:space="preserve"> x 40 mm </w:t>
      </w:r>
      <w:r w:rsidRPr="00D60E5E">
        <w:rPr>
          <w:rFonts w:ascii="Arial" w:hAnsi="Arial" w:cs="Arial"/>
          <w:sz w:val="20"/>
        </w:rPr>
        <w:sym w:font="Symbol" w:char="F0C6"/>
      </w:r>
      <w:r w:rsidRPr="00D60E5E">
        <w:rPr>
          <w:rFonts w:ascii="Arial" w:hAnsi="Arial" w:cs="Arial"/>
          <w:sz w:val="20"/>
        </w:rPr>
        <w:t xml:space="preserve">, </w:t>
      </w:r>
      <w:r w:rsidR="00DA3048" w:rsidRPr="00D60E5E">
        <w:rPr>
          <w:rFonts w:ascii="Arial" w:hAnsi="Arial" w:cs="Arial"/>
          <w:sz w:val="20"/>
        </w:rPr>
        <w:t>8</w:t>
      </w:r>
      <w:r w:rsidRPr="00D60E5E">
        <w:rPr>
          <w:rFonts w:ascii="Arial" w:hAnsi="Arial" w:cs="Arial"/>
          <w:sz w:val="20"/>
        </w:rPr>
        <w:t xml:space="preserve"> x 18 mm </w:t>
      </w:r>
      <w:r w:rsidRPr="00D60E5E">
        <w:rPr>
          <w:rFonts w:ascii="Arial" w:hAnsi="Arial" w:cs="Arial"/>
          <w:sz w:val="20"/>
        </w:rPr>
        <w:sym w:font="Symbol" w:char="F0C6"/>
      </w:r>
      <w:r w:rsidRPr="00D60E5E">
        <w:rPr>
          <w:rFonts w:ascii="Arial" w:hAnsi="Arial" w:cs="Arial"/>
          <w:sz w:val="20"/>
        </w:rPr>
        <w:t xml:space="preserve"> </w:t>
      </w:r>
    </w:p>
    <w:p w14:paraId="118C9023" w14:textId="77777777" w:rsidR="00977FD9" w:rsidRPr="00D60E5E" w:rsidRDefault="00851E5F" w:rsidP="004C1E82">
      <w:pPr>
        <w:numPr>
          <w:ilvl w:val="0"/>
          <w:numId w:val="3"/>
        </w:numPr>
        <w:jc w:val="both"/>
        <w:rPr>
          <w:rFonts w:ascii="Arial" w:hAnsi="Arial" w:cs="Arial"/>
          <w:b/>
          <w:bCs/>
          <w:sz w:val="20"/>
        </w:rPr>
      </w:pPr>
      <w:r w:rsidRPr="00D60E5E">
        <w:rPr>
          <w:rFonts w:ascii="Arial" w:hAnsi="Arial" w:cs="Arial"/>
          <w:sz w:val="20"/>
        </w:rPr>
        <w:t xml:space="preserve">Außenfarbe lichtgrau, ähnlich RAL 7035 </w:t>
      </w:r>
      <w:r w:rsidRPr="00D60E5E">
        <w:rPr>
          <w:rFonts w:ascii="Arial" w:hAnsi="Arial" w:cs="Arial"/>
          <w:sz w:val="20"/>
          <w:szCs w:val="20"/>
        </w:rPr>
        <w:t xml:space="preserve">/Außenkanten, Griff und Lüftungsgitter ultramarinblau, ähnlich RAL  5002 </w:t>
      </w:r>
    </w:p>
    <w:p w14:paraId="5882409E" w14:textId="77777777" w:rsidR="00130807" w:rsidRPr="00D60E5E" w:rsidRDefault="00130807" w:rsidP="00130807">
      <w:pPr>
        <w:jc w:val="both"/>
        <w:rPr>
          <w:rFonts w:ascii="Arial" w:hAnsi="Arial" w:cs="Arial"/>
          <w:sz w:val="20"/>
          <w:szCs w:val="20"/>
        </w:rPr>
      </w:pPr>
    </w:p>
    <w:p w14:paraId="17F5C631" w14:textId="77777777" w:rsidR="00CE6D41" w:rsidRPr="00D60E5E" w:rsidRDefault="00CE6D41">
      <w:pPr>
        <w:jc w:val="both"/>
        <w:rPr>
          <w:rFonts w:ascii="Arial" w:hAnsi="Arial" w:cs="Arial"/>
          <w:b/>
          <w:bCs/>
          <w:sz w:val="20"/>
        </w:rPr>
      </w:pPr>
      <w:r w:rsidRPr="00D60E5E">
        <w:rPr>
          <w:rFonts w:ascii="Arial" w:hAnsi="Arial" w:cs="Arial"/>
          <w:b/>
          <w:bCs/>
          <w:sz w:val="20"/>
        </w:rPr>
        <w:t>Material</w:t>
      </w:r>
    </w:p>
    <w:p w14:paraId="4AC102A4" w14:textId="77777777" w:rsidR="00E56930" w:rsidRPr="00D60E5E" w:rsidRDefault="00E56930">
      <w:pPr>
        <w:jc w:val="both"/>
        <w:rPr>
          <w:rFonts w:ascii="Arial" w:hAnsi="Arial" w:cs="Arial"/>
          <w:b/>
          <w:bCs/>
          <w:sz w:val="20"/>
        </w:rPr>
      </w:pPr>
    </w:p>
    <w:p w14:paraId="698F3A4C" w14:textId="77777777" w:rsidR="00220321" w:rsidRPr="00D60E5E" w:rsidRDefault="00220321" w:rsidP="00220321">
      <w:pPr>
        <w:pStyle w:val="Listenabsatz"/>
        <w:numPr>
          <w:ilvl w:val="0"/>
          <w:numId w:val="5"/>
        </w:numPr>
        <w:spacing w:after="0" w:line="240" w:lineRule="auto"/>
        <w:ind w:left="714" w:hanging="357"/>
        <w:rPr>
          <w:rFonts w:ascii="Arial" w:hAnsi="Arial" w:cs="Arial"/>
          <w:sz w:val="20"/>
          <w:szCs w:val="20"/>
        </w:rPr>
      </w:pPr>
      <w:r w:rsidRPr="00D60E5E">
        <w:rPr>
          <w:rFonts w:ascii="Arial" w:hAnsi="Arial" w:cs="Arial"/>
          <w:sz w:val="20"/>
          <w:szCs w:val="20"/>
        </w:rPr>
        <w:t>Basisbrandschutzplatten nicht brennbar</w:t>
      </w:r>
    </w:p>
    <w:p w14:paraId="36BC64F4" w14:textId="77777777" w:rsidR="00851E5F" w:rsidRPr="00D60E5E" w:rsidRDefault="00220321" w:rsidP="00220321">
      <w:pPr>
        <w:pStyle w:val="Listenabsatz"/>
        <w:numPr>
          <w:ilvl w:val="0"/>
          <w:numId w:val="5"/>
        </w:numPr>
        <w:spacing w:after="0" w:line="240" w:lineRule="auto"/>
        <w:ind w:left="714" w:hanging="357"/>
        <w:rPr>
          <w:rFonts w:ascii="Arial" w:hAnsi="Arial" w:cs="Arial"/>
          <w:sz w:val="20"/>
          <w:szCs w:val="20"/>
        </w:rPr>
      </w:pPr>
      <w:r w:rsidRPr="00D60E5E">
        <w:rPr>
          <w:rFonts w:ascii="Arial" w:hAnsi="Arial" w:cs="Arial"/>
          <w:sz w:val="20"/>
          <w:szCs w:val="20"/>
        </w:rPr>
        <w:t xml:space="preserve">beschichtete Brandschutzplatten erfüllen die Anforderungen nach DIN EN 438-2 </w:t>
      </w:r>
    </w:p>
    <w:p w14:paraId="7479BB54" w14:textId="77777777" w:rsidR="00220321" w:rsidRPr="00D60E5E" w:rsidRDefault="00220321" w:rsidP="00851E5F">
      <w:pPr>
        <w:pStyle w:val="Listenabsatz"/>
        <w:spacing w:after="0" w:line="240" w:lineRule="auto"/>
        <w:ind w:left="714"/>
        <w:rPr>
          <w:rFonts w:ascii="Arial" w:hAnsi="Arial" w:cs="Arial"/>
          <w:sz w:val="20"/>
          <w:szCs w:val="20"/>
        </w:rPr>
      </w:pPr>
      <w:r w:rsidRPr="00D60E5E">
        <w:rPr>
          <w:rFonts w:ascii="Arial" w:hAnsi="Arial" w:cs="Arial"/>
          <w:sz w:val="20"/>
          <w:szCs w:val="20"/>
        </w:rPr>
        <w:t>z.B.  Abriebfestigkeit, Stoßfestigkeit, Kratzfestigkeit etc. …</w:t>
      </w:r>
      <w:r w:rsidRPr="00D60E5E">
        <w:rPr>
          <w:rFonts w:ascii="Arial" w:hAnsi="Arial" w:cs="Arial"/>
          <w:sz w:val="20"/>
        </w:rPr>
        <w:t xml:space="preserve"> </w:t>
      </w:r>
    </w:p>
    <w:p w14:paraId="7D148BC9" w14:textId="77777777" w:rsidR="00220321" w:rsidRPr="00D60E5E" w:rsidRDefault="00220321" w:rsidP="00220321">
      <w:pPr>
        <w:numPr>
          <w:ilvl w:val="0"/>
          <w:numId w:val="5"/>
        </w:numPr>
        <w:jc w:val="both"/>
        <w:rPr>
          <w:rFonts w:ascii="Arial" w:hAnsi="Arial" w:cs="Arial"/>
          <w:sz w:val="20"/>
        </w:rPr>
      </w:pPr>
      <w:r w:rsidRPr="00D60E5E">
        <w:rPr>
          <w:rFonts w:ascii="Arial" w:hAnsi="Arial" w:cs="Arial"/>
          <w:sz w:val="20"/>
        </w:rPr>
        <w:t>mehrschichtiger, patentierter Wandaufbau aus nichtbrennbaren Baustoffen, mit endothermen Mittelschichten, um die Temperatur auch im Brandfall gering zu halten</w:t>
      </w:r>
    </w:p>
    <w:p w14:paraId="18438B0B" w14:textId="77777777" w:rsidR="00220321" w:rsidRPr="00D60E5E" w:rsidRDefault="00220321" w:rsidP="00220321">
      <w:pPr>
        <w:numPr>
          <w:ilvl w:val="0"/>
          <w:numId w:val="5"/>
        </w:numPr>
        <w:ind w:left="714" w:hanging="357"/>
        <w:jc w:val="both"/>
        <w:rPr>
          <w:rFonts w:ascii="Arial" w:hAnsi="Arial" w:cs="Arial"/>
          <w:sz w:val="20"/>
        </w:rPr>
      </w:pPr>
      <w:r w:rsidRPr="00D60E5E">
        <w:rPr>
          <w:rFonts w:ascii="Arial" w:hAnsi="Arial" w:cs="Arial"/>
          <w:sz w:val="20"/>
        </w:rPr>
        <w:t>Oberfläche: hochwertig beschichtete Basisbrandschutzplatten mit hoher Schlag- und Stoßfestigkeit sowie chemischer Beständigkeit</w:t>
      </w:r>
    </w:p>
    <w:p w14:paraId="7239E38F" w14:textId="77777777" w:rsidR="00F548DB" w:rsidRPr="00D60E5E" w:rsidRDefault="00F548DB" w:rsidP="00F548DB">
      <w:pPr>
        <w:numPr>
          <w:ilvl w:val="0"/>
          <w:numId w:val="5"/>
        </w:numPr>
        <w:jc w:val="both"/>
        <w:rPr>
          <w:rFonts w:ascii="Arial" w:hAnsi="Arial" w:cs="Arial"/>
          <w:sz w:val="20"/>
        </w:rPr>
      </w:pPr>
      <w:r w:rsidRPr="00D60E5E">
        <w:rPr>
          <w:rFonts w:ascii="Arial" w:hAnsi="Arial" w:cs="Arial"/>
          <w:sz w:val="20"/>
        </w:rPr>
        <w:t>Die Standard-Oberflächenbeschichtung ist ≤ 0,5 mm und erfüllt somit die Hinweise in der MVVTB, dass die Beschichtungen bis 0,5 mm Schichtstärke die Bewertung der Baustoffklasse nicht beeinflussen.</w:t>
      </w:r>
    </w:p>
    <w:p w14:paraId="31DBD87D" w14:textId="77777777" w:rsidR="00675798" w:rsidRPr="00D60E5E" w:rsidRDefault="00675798" w:rsidP="00675798">
      <w:pPr>
        <w:ind w:left="720"/>
        <w:jc w:val="both"/>
        <w:rPr>
          <w:rFonts w:ascii="Arial" w:hAnsi="Arial" w:cs="Arial"/>
          <w:sz w:val="20"/>
        </w:rPr>
      </w:pPr>
    </w:p>
    <w:p w14:paraId="5A0D10D8" w14:textId="77777777" w:rsidR="00675798" w:rsidRPr="00D60E5E" w:rsidRDefault="00675798" w:rsidP="00675798">
      <w:pPr>
        <w:ind w:left="720"/>
        <w:jc w:val="both"/>
        <w:rPr>
          <w:rFonts w:ascii="Arial" w:hAnsi="Arial" w:cs="Arial"/>
          <w:sz w:val="20"/>
        </w:rPr>
      </w:pPr>
    </w:p>
    <w:p w14:paraId="424C1BB7" w14:textId="77777777" w:rsidR="00CE6D41" w:rsidRPr="00D60E5E" w:rsidRDefault="00CE6D41">
      <w:pPr>
        <w:jc w:val="both"/>
        <w:rPr>
          <w:rFonts w:ascii="Arial" w:hAnsi="Arial" w:cs="Arial"/>
          <w:b/>
          <w:bCs/>
          <w:sz w:val="20"/>
        </w:rPr>
      </w:pPr>
    </w:p>
    <w:p w14:paraId="7CD00EDF" w14:textId="77777777" w:rsidR="00CE6D41" w:rsidRPr="00D60E5E" w:rsidRDefault="00CE6D41">
      <w:pPr>
        <w:jc w:val="both"/>
        <w:rPr>
          <w:rFonts w:ascii="Arial" w:hAnsi="Arial" w:cs="Arial"/>
          <w:b/>
          <w:bCs/>
          <w:sz w:val="20"/>
        </w:rPr>
      </w:pPr>
      <w:r w:rsidRPr="00D60E5E">
        <w:rPr>
          <w:rFonts w:ascii="Arial" w:hAnsi="Arial" w:cs="Arial"/>
          <w:b/>
          <w:bCs/>
          <w:sz w:val="20"/>
        </w:rPr>
        <w:lastRenderedPageBreak/>
        <w:t xml:space="preserve">Optionen </w:t>
      </w:r>
    </w:p>
    <w:p w14:paraId="54D78795" w14:textId="77777777" w:rsidR="00054CF2" w:rsidRPr="00D60E5E" w:rsidRDefault="00054CF2">
      <w:pPr>
        <w:jc w:val="both"/>
        <w:rPr>
          <w:rFonts w:ascii="Arial" w:hAnsi="Arial" w:cs="Arial"/>
          <w:b/>
          <w:bCs/>
          <w:sz w:val="20"/>
        </w:rPr>
      </w:pPr>
    </w:p>
    <w:p w14:paraId="6B7941A8" w14:textId="77777777" w:rsidR="00054CF2" w:rsidRPr="00D60E5E" w:rsidRDefault="00054CF2">
      <w:pPr>
        <w:numPr>
          <w:ilvl w:val="0"/>
          <w:numId w:val="2"/>
        </w:numPr>
        <w:jc w:val="both"/>
        <w:rPr>
          <w:rFonts w:ascii="Arial" w:hAnsi="Arial" w:cs="Arial"/>
          <w:sz w:val="20"/>
        </w:rPr>
      </w:pPr>
      <w:r w:rsidRPr="00D60E5E">
        <w:rPr>
          <w:rFonts w:ascii="Arial" w:hAnsi="Arial" w:cs="Arial"/>
          <w:sz w:val="20"/>
        </w:rPr>
        <w:t>Türanschlag Links</w:t>
      </w:r>
    </w:p>
    <w:p w14:paraId="25D8C4C4" w14:textId="77777777" w:rsidR="00054CF2" w:rsidRPr="00D60E5E" w:rsidRDefault="00054CF2">
      <w:pPr>
        <w:numPr>
          <w:ilvl w:val="0"/>
          <w:numId w:val="2"/>
        </w:numPr>
        <w:jc w:val="both"/>
        <w:rPr>
          <w:rFonts w:ascii="Arial" w:hAnsi="Arial" w:cs="Arial"/>
          <w:sz w:val="20"/>
        </w:rPr>
      </w:pPr>
      <w:r w:rsidRPr="00D60E5E">
        <w:rPr>
          <w:rFonts w:ascii="Arial" w:hAnsi="Arial" w:cs="Arial"/>
          <w:sz w:val="20"/>
        </w:rPr>
        <w:t>Wandbefestigung</w:t>
      </w:r>
    </w:p>
    <w:p w14:paraId="08015B10" w14:textId="77777777" w:rsidR="00CE6D41" w:rsidRPr="00D60E5E" w:rsidRDefault="00CE6D41">
      <w:pPr>
        <w:numPr>
          <w:ilvl w:val="0"/>
          <w:numId w:val="2"/>
        </w:numPr>
        <w:jc w:val="both"/>
        <w:rPr>
          <w:rFonts w:ascii="Arial" w:hAnsi="Arial" w:cs="Arial"/>
          <w:sz w:val="20"/>
        </w:rPr>
      </w:pPr>
      <w:r w:rsidRPr="00D60E5E">
        <w:rPr>
          <w:rFonts w:ascii="Arial" w:hAnsi="Arial" w:cs="Arial"/>
          <w:sz w:val="20"/>
        </w:rPr>
        <w:t>Sonderfarb</w:t>
      </w:r>
      <w:r w:rsidR="00644E4A" w:rsidRPr="00D60E5E">
        <w:rPr>
          <w:rFonts w:ascii="Arial" w:hAnsi="Arial" w:cs="Arial"/>
          <w:sz w:val="20"/>
        </w:rPr>
        <w:t>en und Sonderbeschichtungen</w:t>
      </w:r>
      <w:r w:rsidRPr="00D60E5E">
        <w:rPr>
          <w:rFonts w:ascii="Arial" w:hAnsi="Arial" w:cs="Arial"/>
          <w:sz w:val="20"/>
        </w:rPr>
        <w:t>.</w:t>
      </w:r>
    </w:p>
    <w:p w14:paraId="370F2FB5" w14:textId="77777777" w:rsidR="00CE6D41" w:rsidRPr="00D60E5E" w:rsidRDefault="00C818A9">
      <w:pPr>
        <w:numPr>
          <w:ilvl w:val="0"/>
          <w:numId w:val="2"/>
        </w:numPr>
        <w:jc w:val="both"/>
        <w:rPr>
          <w:rFonts w:ascii="Arial" w:hAnsi="Arial" w:cs="Arial"/>
          <w:sz w:val="20"/>
        </w:rPr>
      </w:pPr>
      <w:r w:rsidRPr="00D60E5E">
        <w:rPr>
          <w:rFonts w:ascii="Arial" w:hAnsi="Arial" w:cs="Arial"/>
          <w:sz w:val="20"/>
        </w:rPr>
        <w:t>Positionier</w:t>
      </w:r>
      <w:r w:rsidR="00C3654F">
        <w:rPr>
          <w:rFonts w:ascii="Arial" w:hAnsi="Arial" w:cs="Arial"/>
          <w:sz w:val="20"/>
        </w:rPr>
        <w:t>u</w:t>
      </w:r>
      <w:r w:rsidRPr="00D60E5E">
        <w:rPr>
          <w:rFonts w:ascii="Arial" w:hAnsi="Arial" w:cs="Arial"/>
          <w:sz w:val="20"/>
        </w:rPr>
        <w:t>ng Kabeleinführung</w:t>
      </w:r>
    </w:p>
    <w:p w14:paraId="5CA603C0" w14:textId="77777777" w:rsidR="00C818A9" w:rsidRPr="00D60E5E" w:rsidRDefault="00C818A9">
      <w:pPr>
        <w:numPr>
          <w:ilvl w:val="0"/>
          <w:numId w:val="2"/>
        </w:numPr>
        <w:jc w:val="both"/>
        <w:rPr>
          <w:rFonts w:ascii="Arial" w:hAnsi="Arial" w:cs="Arial"/>
          <w:sz w:val="20"/>
        </w:rPr>
      </w:pPr>
      <w:r w:rsidRPr="00D60E5E">
        <w:rPr>
          <w:rFonts w:ascii="Arial" w:hAnsi="Arial" w:cs="Arial"/>
          <w:sz w:val="20"/>
        </w:rPr>
        <w:t>Rauchmelder nach EN 54-7</w:t>
      </w:r>
      <w:r w:rsidR="00EF534E" w:rsidRPr="00D60E5E">
        <w:rPr>
          <w:rFonts w:ascii="Arial" w:hAnsi="Arial" w:cs="Arial"/>
          <w:sz w:val="20"/>
        </w:rPr>
        <w:t xml:space="preserve"> für die 2-Wege Früherkennung eines Thermal Runaway</w:t>
      </w:r>
    </w:p>
    <w:p w14:paraId="67EAC426" w14:textId="77777777" w:rsidR="00C818A9" w:rsidRPr="00D60E5E" w:rsidRDefault="00C818A9">
      <w:pPr>
        <w:numPr>
          <w:ilvl w:val="0"/>
          <w:numId w:val="2"/>
        </w:numPr>
        <w:jc w:val="both"/>
        <w:rPr>
          <w:rFonts w:ascii="Arial" w:hAnsi="Arial" w:cs="Arial"/>
          <w:sz w:val="20"/>
        </w:rPr>
      </w:pPr>
      <w:r w:rsidRPr="00D60E5E">
        <w:rPr>
          <w:rFonts w:ascii="Arial" w:hAnsi="Arial" w:cs="Arial"/>
          <w:sz w:val="20"/>
        </w:rPr>
        <w:t>Potentialfreier Meldekontakt für BMZ</w:t>
      </w:r>
      <w:r w:rsidR="004C1E82" w:rsidRPr="00D60E5E">
        <w:rPr>
          <w:rFonts w:ascii="Arial" w:hAnsi="Arial" w:cs="Arial"/>
          <w:sz w:val="20"/>
        </w:rPr>
        <w:t>, übergeordnete Leitstelle etc.</w:t>
      </w:r>
    </w:p>
    <w:p w14:paraId="3473D91F" w14:textId="77777777" w:rsidR="00EF534E" w:rsidRPr="00D60E5E" w:rsidRDefault="00EF534E" w:rsidP="00EF534E">
      <w:pPr>
        <w:numPr>
          <w:ilvl w:val="0"/>
          <w:numId w:val="2"/>
        </w:numPr>
        <w:jc w:val="both"/>
        <w:rPr>
          <w:rFonts w:ascii="Arial" w:hAnsi="Arial" w:cs="Arial"/>
          <w:b/>
          <w:bCs/>
          <w:sz w:val="20"/>
        </w:rPr>
      </w:pPr>
      <w:r w:rsidRPr="00D60E5E">
        <w:rPr>
          <w:rFonts w:ascii="Arial" w:hAnsi="Arial" w:cs="Arial"/>
          <w:sz w:val="20"/>
        </w:rPr>
        <w:t>Außentemperaturüberwachung für den Thermal Runaway Schutz bei Brand von außen</w:t>
      </w:r>
    </w:p>
    <w:p w14:paraId="5B5D42A4" w14:textId="77777777" w:rsidR="00C818A9" w:rsidRPr="00D60E5E" w:rsidRDefault="00C818A9">
      <w:pPr>
        <w:numPr>
          <w:ilvl w:val="0"/>
          <w:numId w:val="2"/>
        </w:numPr>
        <w:jc w:val="both"/>
        <w:rPr>
          <w:rFonts w:ascii="Arial" w:hAnsi="Arial" w:cs="Arial"/>
          <w:sz w:val="20"/>
        </w:rPr>
      </w:pPr>
      <w:proofErr w:type="spellStart"/>
      <w:r w:rsidRPr="00D60E5E">
        <w:rPr>
          <w:rFonts w:ascii="Arial" w:hAnsi="Arial" w:cs="Arial"/>
          <w:sz w:val="20"/>
        </w:rPr>
        <w:t>Tablethalterung</w:t>
      </w:r>
      <w:proofErr w:type="spellEnd"/>
      <w:r w:rsidRPr="00D60E5E">
        <w:rPr>
          <w:rFonts w:ascii="Arial" w:hAnsi="Arial" w:cs="Arial"/>
          <w:sz w:val="20"/>
        </w:rPr>
        <w:t xml:space="preserve"> ink</w:t>
      </w:r>
      <w:r w:rsidR="004621F9" w:rsidRPr="00D60E5E">
        <w:rPr>
          <w:rFonts w:ascii="Arial" w:hAnsi="Arial" w:cs="Arial"/>
          <w:sz w:val="20"/>
        </w:rPr>
        <w:t xml:space="preserve">l. </w:t>
      </w:r>
      <w:r w:rsidRPr="00D60E5E">
        <w:rPr>
          <w:rFonts w:ascii="Arial" w:hAnsi="Arial" w:cs="Arial"/>
          <w:sz w:val="20"/>
        </w:rPr>
        <w:t>USB Ladegerät für bis zu 15 Tablets</w:t>
      </w:r>
    </w:p>
    <w:p w14:paraId="23D27941" w14:textId="77777777" w:rsidR="00675798" w:rsidRPr="00D60E5E" w:rsidRDefault="004621F9">
      <w:pPr>
        <w:numPr>
          <w:ilvl w:val="0"/>
          <w:numId w:val="2"/>
        </w:numPr>
        <w:jc w:val="both"/>
        <w:rPr>
          <w:rFonts w:ascii="Arial" w:hAnsi="Arial" w:cs="Arial"/>
          <w:sz w:val="20"/>
        </w:rPr>
      </w:pPr>
      <w:r w:rsidRPr="00D60E5E">
        <w:rPr>
          <w:rFonts w:ascii="Arial" w:hAnsi="Arial" w:cs="Arial"/>
          <w:sz w:val="20"/>
        </w:rPr>
        <w:t xml:space="preserve">Modulare </w:t>
      </w:r>
      <w:r w:rsidR="00675798" w:rsidRPr="00D60E5E">
        <w:rPr>
          <w:rFonts w:ascii="Arial" w:hAnsi="Arial" w:cs="Arial"/>
          <w:sz w:val="20"/>
        </w:rPr>
        <w:t>Anreihung</w:t>
      </w:r>
      <w:r w:rsidR="00D8310E" w:rsidRPr="00D60E5E">
        <w:rPr>
          <w:rFonts w:ascii="Arial" w:hAnsi="Arial" w:cs="Arial"/>
          <w:sz w:val="20"/>
        </w:rPr>
        <w:t>/Stapelung</w:t>
      </w:r>
      <w:r w:rsidR="004C1E82" w:rsidRPr="00D60E5E">
        <w:rPr>
          <w:rFonts w:ascii="Arial" w:hAnsi="Arial" w:cs="Arial"/>
          <w:sz w:val="20"/>
        </w:rPr>
        <w:t xml:space="preserve"> (z.B. Anreihung 3x2 </w:t>
      </w:r>
      <w:r w:rsidR="00D60E5E" w:rsidRPr="00D60E5E">
        <w:rPr>
          <w:rFonts w:ascii="Arial" w:hAnsi="Arial" w:cs="Arial"/>
          <w:sz w:val="20"/>
        </w:rPr>
        <w:sym w:font="Wingdings" w:char="F0E0"/>
      </w:r>
      <w:r w:rsidR="004C1E82" w:rsidRPr="00D60E5E">
        <w:rPr>
          <w:rFonts w:ascii="Arial" w:hAnsi="Arial" w:cs="Arial"/>
          <w:sz w:val="20"/>
        </w:rPr>
        <w:t xml:space="preserve"> ca. 20 kW Ladeleistung möglich)</w:t>
      </w:r>
    </w:p>
    <w:p w14:paraId="5C8266C3" w14:textId="77777777" w:rsidR="00C818A9" w:rsidRPr="00D60E5E" w:rsidRDefault="00C818A9" w:rsidP="00675798">
      <w:pPr>
        <w:ind w:left="720"/>
        <w:jc w:val="both"/>
        <w:rPr>
          <w:rFonts w:ascii="Arial" w:hAnsi="Arial" w:cs="Arial"/>
          <w:sz w:val="20"/>
        </w:rPr>
      </w:pPr>
    </w:p>
    <w:p w14:paraId="11AD30DE" w14:textId="77777777" w:rsidR="00A13692" w:rsidRPr="00D60E5E" w:rsidRDefault="00A13692" w:rsidP="00A13692">
      <w:pPr>
        <w:ind w:left="720"/>
        <w:jc w:val="both"/>
        <w:rPr>
          <w:rFonts w:ascii="Arial" w:hAnsi="Arial" w:cs="Arial"/>
          <w:sz w:val="20"/>
        </w:rPr>
      </w:pPr>
    </w:p>
    <w:p w14:paraId="3C3868F3" w14:textId="77777777" w:rsidR="00CE6D41" w:rsidRPr="00D60E5E" w:rsidRDefault="00CE6D41">
      <w:pPr>
        <w:jc w:val="both"/>
        <w:rPr>
          <w:rFonts w:ascii="Arial" w:hAnsi="Arial" w:cs="Arial"/>
          <w:b/>
          <w:bCs/>
          <w:sz w:val="20"/>
        </w:rPr>
      </w:pPr>
      <w:r w:rsidRPr="00D60E5E">
        <w:rPr>
          <w:rFonts w:ascii="Arial" w:hAnsi="Arial" w:cs="Arial"/>
          <w:b/>
          <w:bCs/>
          <w:sz w:val="20"/>
        </w:rPr>
        <w:t xml:space="preserve">Aufstellung und Montage </w:t>
      </w:r>
    </w:p>
    <w:p w14:paraId="5B1F03DF" w14:textId="77777777" w:rsidR="00CE6D41" w:rsidRPr="00D60E5E" w:rsidRDefault="00CE6D41">
      <w:pPr>
        <w:jc w:val="both"/>
        <w:rPr>
          <w:rFonts w:ascii="Arial" w:hAnsi="Arial" w:cs="Arial"/>
          <w:b/>
          <w:bCs/>
          <w:sz w:val="20"/>
        </w:rPr>
      </w:pPr>
    </w:p>
    <w:p w14:paraId="4FE47ACC" w14:textId="77777777" w:rsidR="00130807" w:rsidRPr="00D60E5E" w:rsidRDefault="0054798F" w:rsidP="0054798F">
      <w:pPr>
        <w:numPr>
          <w:ilvl w:val="0"/>
          <w:numId w:val="2"/>
        </w:numPr>
        <w:jc w:val="both"/>
        <w:rPr>
          <w:rFonts w:ascii="Arial" w:hAnsi="Arial" w:cs="Arial"/>
          <w:sz w:val="20"/>
        </w:rPr>
      </w:pPr>
      <w:r w:rsidRPr="00D60E5E">
        <w:rPr>
          <w:rFonts w:ascii="Arial" w:hAnsi="Arial" w:cs="Arial"/>
          <w:sz w:val="20"/>
        </w:rPr>
        <w:t>Bedienungsanleitung</w:t>
      </w:r>
      <w:r w:rsidR="004C1E82" w:rsidRPr="00D60E5E">
        <w:rPr>
          <w:rFonts w:ascii="Arial" w:hAnsi="Arial" w:cs="Arial"/>
          <w:sz w:val="20"/>
        </w:rPr>
        <w:t xml:space="preserve"> mit Hinweisen zur Aufstellung, Inbetriebnahme, bestimmungsgemäßen Verwendung und Wartung </w:t>
      </w:r>
      <w:r w:rsidR="00CE6D41" w:rsidRPr="00D60E5E">
        <w:rPr>
          <w:rFonts w:ascii="Arial" w:hAnsi="Arial" w:cs="Arial"/>
          <w:sz w:val="20"/>
        </w:rPr>
        <w:t xml:space="preserve">mit beiliegender Dokumentation für das </w:t>
      </w:r>
      <w:r w:rsidR="00675798" w:rsidRPr="00D60E5E">
        <w:rPr>
          <w:rFonts w:ascii="Arial" w:hAnsi="Arial" w:cs="Arial"/>
          <w:sz w:val="20"/>
        </w:rPr>
        <w:t>Sicherheits</w:t>
      </w:r>
      <w:r w:rsidR="00CE6D41" w:rsidRPr="00D60E5E">
        <w:rPr>
          <w:rFonts w:ascii="Arial" w:hAnsi="Arial" w:cs="Arial"/>
          <w:sz w:val="20"/>
        </w:rPr>
        <w:t>gehäuse.</w:t>
      </w:r>
    </w:p>
    <w:p w14:paraId="0B47B676" w14:textId="77777777" w:rsidR="0054798F" w:rsidRPr="00D60E5E" w:rsidRDefault="0054798F" w:rsidP="0054798F">
      <w:pPr>
        <w:ind w:left="720"/>
        <w:jc w:val="both"/>
        <w:rPr>
          <w:rFonts w:ascii="Arial" w:hAnsi="Arial" w:cs="Arial"/>
          <w:sz w:val="20"/>
        </w:rPr>
      </w:pPr>
    </w:p>
    <w:p w14:paraId="592F71E1" w14:textId="77777777" w:rsidR="00CE6D41" w:rsidRPr="00D60E5E" w:rsidRDefault="00CE6D41">
      <w:pPr>
        <w:jc w:val="both"/>
        <w:rPr>
          <w:rFonts w:ascii="Arial" w:hAnsi="Arial" w:cs="Arial"/>
          <w:b/>
          <w:bCs/>
          <w:sz w:val="20"/>
        </w:rPr>
      </w:pPr>
      <w:r w:rsidRPr="00D60E5E">
        <w:rPr>
          <w:rFonts w:ascii="Arial" w:hAnsi="Arial" w:cs="Arial"/>
          <w:b/>
          <w:bCs/>
          <w:sz w:val="20"/>
        </w:rPr>
        <w:t xml:space="preserve">Fabrikat </w:t>
      </w:r>
    </w:p>
    <w:p w14:paraId="0C30BA9B" w14:textId="77777777" w:rsidR="00F966A3" w:rsidRPr="00D60E5E" w:rsidRDefault="00CE6D41" w:rsidP="00F966A3">
      <w:pPr>
        <w:ind w:firstLine="708"/>
        <w:jc w:val="both"/>
        <w:rPr>
          <w:rFonts w:ascii="Arial" w:hAnsi="Arial" w:cs="Arial"/>
          <w:sz w:val="20"/>
        </w:rPr>
      </w:pPr>
      <w:r w:rsidRPr="00D60E5E">
        <w:rPr>
          <w:rFonts w:ascii="Arial" w:hAnsi="Arial" w:cs="Arial"/>
          <w:sz w:val="20"/>
        </w:rPr>
        <w:tab/>
      </w:r>
      <w:r w:rsidR="00F966A3" w:rsidRPr="00D60E5E">
        <w:rPr>
          <w:rFonts w:ascii="Arial" w:hAnsi="Arial" w:cs="Arial"/>
          <w:sz w:val="20"/>
        </w:rPr>
        <w:t>Celsion Brandschutzsysteme GmbH</w:t>
      </w:r>
    </w:p>
    <w:p w14:paraId="44737512" w14:textId="77777777" w:rsidR="00F966A3" w:rsidRPr="00D60E5E" w:rsidRDefault="00F966A3" w:rsidP="00F966A3">
      <w:pPr>
        <w:jc w:val="both"/>
        <w:rPr>
          <w:rFonts w:ascii="Arial" w:hAnsi="Arial" w:cs="Arial"/>
          <w:sz w:val="20"/>
        </w:rPr>
      </w:pPr>
      <w:r w:rsidRPr="00D60E5E">
        <w:rPr>
          <w:rFonts w:ascii="Arial" w:hAnsi="Arial" w:cs="Arial"/>
          <w:sz w:val="20"/>
        </w:rPr>
        <w:tab/>
      </w:r>
      <w:r w:rsidRPr="00D60E5E">
        <w:rPr>
          <w:rFonts w:ascii="Arial" w:hAnsi="Arial" w:cs="Arial"/>
          <w:sz w:val="20"/>
        </w:rPr>
        <w:tab/>
      </w:r>
      <w:r w:rsidR="00BD5714" w:rsidRPr="00D60E5E">
        <w:rPr>
          <w:rFonts w:ascii="Arial" w:hAnsi="Arial" w:cs="Arial"/>
          <w:sz w:val="20"/>
        </w:rPr>
        <w:t>Dresdener Straße 51</w:t>
      </w:r>
    </w:p>
    <w:p w14:paraId="1C5F0630" w14:textId="77777777" w:rsidR="00F966A3" w:rsidRPr="00D60E5E" w:rsidRDefault="00F966A3" w:rsidP="00F966A3">
      <w:pPr>
        <w:ind w:left="708" w:firstLine="708"/>
        <w:jc w:val="both"/>
        <w:rPr>
          <w:rFonts w:ascii="Arial" w:hAnsi="Arial" w:cs="Arial"/>
          <w:sz w:val="20"/>
        </w:rPr>
      </w:pPr>
      <w:r w:rsidRPr="00D60E5E">
        <w:rPr>
          <w:rFonts w:ascii="Arial" w:hAnsi="Arial" w:cs="Arial"/>
          <w:sz w:val="20"/>
        </w:rPr>
        <w:t>D-</w:t>
      </w:r>
      <w:r w:rsidR="00BD5714" w:rsidRPr="00D60E5E">
        <w:rPr>
          <w:rFonts w:ascii="Arial" w:hAnsi="Arial" w:cs="Arial"/>
          <w:sz w:val="20"/>
        </w:rPr>
        <w:t>02625 Bautzen</w:t>
      </w:r>
    </w:p>
    <w:p w14:paraId="047D2054" w14:textId="77777777" w:rsidR="00F966A3" w:rsidRPr="00D60E5E" w:rsidRDefault="00F966A3" w:rsidP="00F966A3">
      <w:pPr>
        <w:ind w:left="708" w:firstLine="708"/>
        <w:jc w:val="both"/>
        <w:rPr>
          <w:rFonts w:ascii="Arial" w:hAnsi="Arial" w:cs="Arial"/>
          <w:sz w:val="20"/>
        </w:rPr>
      </w:pPr>
      <w:r w:rsidRPr="00D60E5E">
        <w:rPr>
          <w:rFonts w:ascii="Arial" w:hAnsi="Arial" w:cs="Arial"/>
          <w:sz w:val="20"/>
        </w:rPr>
        <w:t>Tel.: 03591 / 270 78 0</w:t>
      </w:r>
    </w:p>
    <w:p w14:paraId="4F4DF588" w14:textId="77777777" w:rsidR="00F966A3" w:rsidRPr="00D60E5E" w:rsidRDefault="00F966A3" w:rsidP="00F966A3">
      <w:pPr>
        <w:ind w:left="708" w:firstLine="708"/>
        <w:jc w:val="both"/>
        <w:rPr>
          <w:rFonts w:ascii="Arial" w:hAnsi="Arial" w:cs="Arial"/>
          <w:sz w:val="20"/>
        </w:rPr>
      </w:pPr>
      <w:r w:rsidRPr="00D60E5E">
        <w:rPr>
          <w:rFonts w:ascii="Arial" w:hAnsi="Arial" w:cs="Arial"/>
          <w:sz w:val="20"/>
        </w:rPr>
        <w:t>Fax: 03591 / 270 78 19</w:t>
      </w:r>
    </w:p>
    <w:p w14:paraId="7CD13307" w14:textId="77777777" w:rsidR="00F966A3" w:rsidRPr="00D60E5E" w:rsidRDefault="00F966A3" w:rsidP="00F966A3">
      <w:pPr>
        <w:ind w:left="708" w:firstLine="708"/>
        <w:jc w:val="both"/>
        <w:rPr>
          <w:rFonts w:ascii="Arial" w:hAnsi="Arial" w:cs="Arial"/>
          <w:sz w:val="20"/>
        </w:rPr>
      </w:pPr>
      <w:proofErr w:type="spellStart"/>
      <w:r w:rsidRPr="00D60E5E">
        <w:rPr>
          <w:rFonts w:ascii="Arial" w:hAnsi="Arial" w:cs="Arial"/>
          <w:sz w:val="20"/>
        </w:rPr>
        <w:t>E</w:t>
      </w:r>
      <w:r w:rsidR="00954895" w:rsidRPr="00D60E5E">
        <w:rPr>
          <w:rFonts w:ascii="Arial" w:hAnsi="Arial" w:cs="Arial"/>
          <w:sz w:val="20"/>
        </w:rPr>
        <w:t>-</w:t>
      </w:r>
      <w:r w:rsidRPr="00D60E5E">
        <w:rPr>
          <w:rFonts w:ascii="Arial" w:hAnsi="Arial" w:cs="Arial"/>
          <w:sz w:val="20"/>
        </w:rPr>
        <w:t>mail</w:t>
      </w:r>
      <w:proofErr w:type="spellEnd"/>
      <w:r w:rsidRPr="00D60E5E">
        <w:rPr>
          <w:rFonts w:ascii="Arial" w:hAnsi="Arial" w:cs="Arial"/>
          <w:sz w:val="20"/>
        </w:rPr>
        <w:t xml:space="preserve">: </w:t>
      </w:r>
      <w:hyperlink r:id="rId7" w:history="1">
        <w:r w:rsidRPr="00D60E5E">
          <w:rPr>
            <w:rStyle w:val="Hyperlink"/>
            <w:rFonts w:ascii="Arial" w:hAnsi="Arial" w:cs="Arial"/>
            <w:color w:val="auto"/>
            <w:sz w:val="20"/>
            <w:u w:val="none"/>
          </w:rPr>
          <w:t>office@celsion.de</w:t>
        </w:r>
      </w:hyperlink>
    </w:p>
    <w:p w14:paraId="009F7E78" w14:textId="77777777" w:rsidR="00F966A3" w:rsidRPr="00D60E5E" w:rsidRDefault="00F966A3" w:rsidP="00F966A3">
      <w:pPr>
        <w:ind w:left="708" w:firstLine="708"/>
        <w:jc w:val="both"/>
        <w:rPr>
          <w:rFonts w:ascii="Arial" w:hAnsi="Arial" w:cs="Arial"/>
          <w:sz w:val="20"/>
        </w:rPr>
      </w:pPr>
      <w:r w:rsidRPr="00D60E5E">
        <w:rPr>
          <w:rFonts w:ascii="Arial" w:hAnsi="Arial" w:cs="Arial"/>
          <w:sz w:val="20"/>
        </w:rPr>
        <w:t>Web: www.celsion.de</w:t>
      </w:r>
    </w:p>
    <w:p w14:paraId="01C37CDE" w14:textId="77777777" w:rsidR="00CE6D41" w:rsidRPr="00D60E5E" w:rsidRDefault="00CE6D41">
      <w:pPr>
        <w:jc w:val="both"/>
        <w:rPr>
          <w:rFonts w:ascii="Arial" w:hAnsi="Arial" w:cs="Arial"/>
          <w:sz w:val="20"/>
        </w:rPr>
      </w:pPr>
    </w:p>
    <w:p w14:paraId="4399F7C3" w14:textId="77777777" w:rsidR="00CE6D41" w:rsidRPr="00D60E5E" w:rsidRDefault="00CE6D41">
      <w:pPr>
        <w:jc w:val="both"/>
        <w:rPr>
          <w:rFonts w:ascii="Arial" w:hAnsi="Arial" w:cs="Arial"/>
          <w:sz w:val="20"/>
        </w:rPr>
      </w:pPr>
      <w:r w:rsidRPr="00D60E5E">
        <w:rPr>
          <w:rFonts w:ascii="Arial" w:hAnsi="Arial" w:cs="Arial"/>
          <w:sz w:val="20"/>
        </w:rPr>
        <w:t>oder gleichwertig.</w:t>
      </w:r>
    </w:p>
    <w:p w14:paraId="04C2D224" w14:textId="77777777" w:rsidR="00CE6D41" w:rsidRPr="00D60E5E" w:rsidRDefault="00CE6D41">
      <w:pPr>
        <w:jc w:val="both"/>
        <w:rPr>
          <w:rFonts w:ascii="Arial" w:hAnsi="Arial" w:cs="Arial"/>
          <w:b/>
          <w:bCs/>
          <w:sz w:val="20"/>
        </w:rPr>
      </w:pPr>
    </w:p>
    <w:p w14:paraId="41044F39" w14:textId="77777777" w:rsidR="00CE6D41" w:rsidRPr="00D60E5E" w:rsidRDefault="00CE6D41">
      <w:pPr>
        <w:jc w:val="both"/>
        <w:rPr>
          <w:rFonts w:ascii="Arial" w:hAnsi="Arial" w:cs="Arial"/>
          <w:sz w:val="20"/>
        </w:rPr>
      </w:pPr>
      <w:r w:rsidRPr="00D60E5E">
        <w:rPr>
          <w:rFonts w:ascii="Arial" w:hAnsi="Arial" w:cs="Arial"/>
          <w:sz w:val="20"/>
        </w:rPr>
        <w:t xml:space="preserve">Wird ein anderes Fabrikat eingesetzt, so </w:t>
      </w:r>
      <w:r w:rsidR="00675798" w:rsidRPr="00D60E5E">
        <w:rPr>
          <w:rFonts w:ascii="Arial" w:hAnsi="Arial" w:cs="Arial"/>
          <w:sz w:val="20"/>
        </w:rPr>
        <w:t xml:space="preserve">ist der Nachweis der Löschfunktion bei gleichen Bedingungen </w:t>
      </w:r>
      <w:r w:rsidRPr="00D60E5E">
        <w:rPr>
          <w:rFonts w:ascii="Arial" w:hAnsi="Arial" w:cs="Arial"/>
          <w:sz w:val="20"/>
        </w:rPr>
        <w:t>inkl. Temperaturkurven dem Planungsbüro vorzulegen. Die Gleichwertigkeit ist nur dann gegeben, wenn die o.g. Anforderungen erfüllt werden.</w:t>
      </w:r>
    </w:p>
    <w:p w14:paraId="5D60149F" w14:textId="77777777" w:rsidR="00CE6D41" w:rsidRPr="00D60E5E" w:rsidRDefault="00CE6D41">
      <w:pPr>
        <w:jc w:val="both"/>
        <w:rPr>
          <w:rFonts w:ascii="Arial" w:hAnsi="Arial" w:cs="Arial"/>
          <w:sz w:val="20"/>
        </w:rPr>
      </w:pPr>
    </w:p>
    <w:p w14:paraId="4A040C93" w14:textId="77777777" w:rsidR="00130807" w:rsidRPr="00D60E5E" w:rsidRDefault="00130807" w:rsidP="00130807">
      <w:pPr>
        <w:jc w:val="both"/>
        <w:rPr>
          <w:rFonts w:ascii="Arial" w:hAnsi="Arial" w:cs="Arial"/>
          <w:sz w:val="20"/>
        </w:rPr>
      </w:pPr>
      <w:r w:rsidRPr="00D60E5E">
        <w:rPr>
          <w:rFonts w:ascii="Arial" w:hAnsi="Arial" w:cs="Arial"/>
          <w:sz w:val="20"/>
        </w:rPr>
        <w:t>Service:</w:t>
      </w:r>
    </w:p>
    <w:p w14:paraId="18634410" w14:textId="77777777" w:rsidR="00130807" w:rsidRPr="00D60E5E" w:rsidRDefault="00130807" w:rsidP="00130807">
      <w:pPr>
        <w:jc w:val="both"/>
        <w:rPr>
          <w:rFonts w:ascii="Arial" w:hAnsi="Arial" w:cs="Arial"/>
          <w:sz w:val="20"/>
        </w:rPr>
      </w:pPr>
      <w:r w:rsidRPr="00D60E5E">
        <w:rPr>
          <w:rFonts w:ascii="Arial" w:hAnsi="Arial" w:cs="Arial"/>
          <w:sz w:val="20"/>
        </w:rPr>
        <w:t>Lieferung und betriebsfertige Montage</w:t>
      </w:r>
    </w:p>
    <w:p w14:paraId="3336D96D" w14:textId="77777777" w:rsidR="00E56930" w:rsidRPr="00D60E5E" w:rsidRDefault="00E56930">
      <w:pPr>
        <w:jc w:val="both"/>
        <w:rPr>
          <w:rFonts w:ascii="Arial" w:hAnsi="Arial" w:cs="Arial"/>
          <w:sz w:val="20"/>
        </w:rPr>
      </w:pPr>
    </w:p>
    <w:p w14:paraId="5A400C9A" w14:textId="77777777" w:rsidR="00CE6D41" w:rsidRPr="00D60E5E" w:rsidRDefault="00CE6D41">
      <w:pPr>
        <w:pStyle w:val="berschrift2"/>
        <w:rPr>
          <w:rFonts w:ascii="Arial" w:hAnsi="Arial" w:cs="Arial"/>
          <w:sz w:val="20"/>
        </w:rPr>
      </w:pPr>
      <w:r w:rsidRPr="00D60E5E">
        <w:rPr>
          <w:rFonts w:ascii="Arial" w:hAnsi="Arial" w:cs="Arial"/>
          <w:sz w:val="20"/>
        </w:rPr>
        <w:t xml:space="preserve">Vorteile </w:t>
      </w:r>
      <w:r w:rsidR="00675798" w:rsidRPr="00D60E5E">
        <w:rPr>
          <w:rFonts w:ascii="Arial" w:hAnsi="Arial" w:cs="Arial"/>
          <w:sz w:val="20"/>
        </w:rPr>
        <w:t>Sicherheitsgehäuse QUBE</w:t>
      </w:r>
      <w:r w:rsidR="00E07561" w:rsidRPr="00D60E5E">
        <w:rPr>
          <w:rFonts w:ascii="Arial" w:hAnsi="Arial" w:cs="Arial"/>
          <w:b w:val="0"/>
          <w:bCs w:val="0"/>
          <w:sz w:val="20"/>
          <w:vertAlign w:val="superscript"/>
        </w:rPr>
        <w:t>®</w:t>
      </w:r>
      <w:r w:rsidR="00675798" w:rsidRPr="00D60E5E">
        <w:rPr>
          <w:rFonts w:ascii="Arial" w:hAnsi="Arial" w:cs="Arial"/>
          <w:sz w:val="20"/>
        </w:rPr>
        <w:t xml:space="preserve"> - </w:t>
      </w:r>
      <w:r w:rsidR="00BC6A97" w:rsidRPr="00D60E5E">
        <w:rPr>
          <w:rFonts w:ascii="Arial" w:hAnsi="Arial" w:cs="Arial"/>
          <w:sz w:val="20"/>
        </w:rPr>
        <w:t>Basis Plus</w:t>
      </w:r>
    </w:p>
    <w:p w14:paraId="66306043" w14:textId="77777777" w:rsidR="00BD5714" w:rsidRPr="00D60E5E" w:rsidRDefault="00BD5714">
      <w:pPr>
        <w:pStyle w:val="Textkrper2"/>
        <w:rPr>
          <w:rFonts w:ascii="Arial" w:hAnsi="Arial" w:cs="Arial"/>
          <w:sz w:val="20"/>
        </w:rPr>
      </w:pPr>
    </w:p>
    <w:p w14:paraId="68E9CEE4" w14:textId="77777777" w:rsidR="00EC2A44" w:rsidRPr="00D60E5E" w:rsidRDefault="00CE6D41">
      <w:pPr>
        <w:pStyle w:val="Textkrper2"/>
        <w:rPr>
          <w:rFonts w:ascii="Arial" w:hAnsi="Arial" w:cs="Arial"/>
          <w:sz w:val="20"/>
        </w:rPr>
      </w:pPr>
      <w:r w:rsidRPr="00D60E5E">
        <w:rPr>
          <w:rFonts w:ascii="Arial" w:hAnsi="Arial" w:cs="Arial"/>
          <w:sz w:val="20"/>
        </w:rPr>
        <w:t>Maximale Sicherheit auf kleinstem Raum</w:t>
      </w:r>
      <w:r w:rsidR="00675798" w:rsidRPr="00D60E5E">
        <w:rPr>
          <w:rFonts w:ascii="Arial" w:hAnsi="Arial" w:cs="Arial"/>
          <w:sz w:val="20"/>
        </w:rPr>
        <w:t>, das Gehäuse ist beliebig aufstellbar.</w:t>
      </w:r>
    </w:p>
    <w:p w14:paraId="6CB2F7E3" w14:textId="77777777" w:rsidR="004C1E82" w:rsidRPr="00D60E5E" w:rsidRDefault="004C1E82" w:rsidP="004C1E82">
      <w:pPr>
        <w:jc w:val="both"/>
        <w:rPr>
          <w:rFonts w:ascii="Arial" w:hAnsi="Arial" w:cs="Arial"/>
          <w:sz w:val="20"/>
        </w:rPr>
      </w:pPr>
      <w:r w:rsidRPr="00D60E5E">
        <w:rPr>
          <w:rFonts w:ascii="Arial" w:hAnsi="Arial" w:cs="Arial"/>
          <w:sz w:val="20"/>
        </w:rPr>
        <w:t>Das wirksame Löschsystem ist imstande den aufkommenden Brand einer sich thermisch entladenden Lithiumzelle zu löschen und unterbindet durch direkte Zellkühlung das thermische Durchgehen aller weiteren Zellen im Akkugehäuse und verhindert dadurch die weitere Freisetzung von thermischer Energie und toxischer Rauchgase.</w:t>
      </w:r>
    </w:p>
    <w:p w14:paraId="28DCB15C" w14:textId="77777777" w:rsidR="00CE6D41" w:rsidRPr="00D60E5E" w:rsidRDefault="000742D7">
      <w:pPr>
        <w:pStyle w:val="Textkrper2"/>
        <w:rPr>
          <w:rFonts w:ascii="Arial" w:hAnsi="Arial" w:cs="Arial"/>
          <w:sz w:val="20"/>
        </w:rPr>
      </w:pPr>
      <w:r w:rsidRPr="00D60E5E">
        <w:rPr>
          <w:rFonts w:ascii="Arial" w:hAnsi="Arial" w:cs="Arial"/>
          <w:sz w:val="20"/>
        </w:rPr>
        <w:t>Die Ladung der Batterien wird sofort unterbrochen.</w:t>
      </w:r>
    </w:p>
    <w:p w14:paraId="358CCD7F" w14:textId="77777777" w:rsidR="000742D7" w:rsidRPr="00D60E5E" w:rsidRDefault="000742D7">
      <w:pPr>
        <w:pStyle w:val="Textkrper2"/>
        <w:rPr>
          <w:rFonts w:ascii="Arial" w:hAnsi="Arial" w:cs="Arial"/>
          <w:sz w:val="20"/>
        </w:rPr>
      </w:pPr>
      <w:r w:rsidRPr="00D60E5E">
        <w:rPr>
          <w:rFonts w:ascii="Arial" w:hAnsi="Arial" w:cs="Arial"/>
          <w:sz w:val="20"/>
        </w:rPr>
        <w:t xml:space="preserve">Die </w:t>
      </w:r>
      <w:r w:rsidR="00D8310E" w:rsidRPr="00D60E5E">
        <w:rPr>
          <w:rFonts w:ascii="Arial" w:hAnsi="Arial" w:cs="Arial"/>
          <w:sz w:val="20"/>
        </w:rPr>
        <w:t>Boden</w:t>
      </w:r>
      <w:r w:rsidRPr="00D60E5E">
        <w:rPr>
          <w:rFonts w:ascii="Arial" w:hAnsi="Arial" w:cs="Arial"/>
          <w:sz w:val="20"/>
        </w:rPr>
        <w:t>wanne fängt das kontaminierte Löschmittel auf.</w:t>
      </w:r>
    </w:p>
    <w:p w14:paraId="75B44804" w14:textId="77777777" w:rsidR="00CE6D41" w:rsidRPr="00D60E5E" w:rsidRDefault="00CE6D41">
      <w:pPr>
        <w:pStyle w:val="Textkrper2"/>
        <w:rPr>
          <w:rFonts w:ascii="Arial" w:hAnsi="Arial" w:cs="Arial"/>
          <w:sz w:val="20"/>
        </w:rPr>
      </w:pPr>
      <w:r w:rsidRPr="00D60E5E">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203BBB37" w14:textId="77777777" w:rsidR="00E56930" w:rsidRPr="00D60E5E" w:rsidRDefault="00E56930">
      <w:pPr>
        <w:pStyle w:val="Textkrper2"/>
        <w:rPr>
          <w:rFonts w:ascii="Arial" w:hAnsi="Arial" w:cs="Arial"/>
          <w:i/>
          <w:iCs/>
          <w:sz w:val="20"/>
        </w:rPr>
      </w:pPr>
    </w:p>
    <w:p w14:paraId="2E89E6E7" w14:textId="77777777" w:rsidR="00CE6D41" w:rsidRPr="00D60E5E" w:rsidRDefault="00CE6D41">
      <w:pPr>
        <w:pStyle w:val="Textkrper2"/>
        <w:rPr>
          <w:rFonts w:ascii="Arial" w:hAnsi="Arial" w:cs="Arial"/>
          <w:i/>
          <w:iCs/>
          <w:sz w:val="20"/>
        </w:rPr>
      </w:pPr>
      <w:r w:rsidRPr="00D60E5E">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0"/>
        <w:gridCol w:w="6442"/>
      </w:tblGrid>
      <w:tr w:rsidR="00CE6D41" w:rsidRPr="00D60E5E" w14:paraId="0E4BF767" w14:textId="77777777">
        <w:tblPrEx>
          <w:tblCellMar>
            <w:top w:w="0" w:type="dxa"/>
            <w:bottom w:w="0" w:type="dxa"/>
          </w:tblCellMar>
        </w:tblPrEx>
        <w:tc>
          <w:tcPr>
            <w:tcW w:w="2657" w:type="dxa"/>
          </w:tcPr>
          <w:p w14:paraId="7B6BEF0D" w14:textId="77777777" w:rsidR="00CE6D41" w:rsidRPr="00D60E5E" w:rsidRDefault="00CE6D41">
            <w:pPr>
              <w:pStyle w:val="Textkrper2"/>
              <w:rPr>
                <w:rFonts w:ascii="Arial" w:hAnsi="Arial" w:cs="Arial"/>
                <w:b/>
                <w:bCs/>
                <w:sz w:val="20"/>
              </w:rPr>
            </w:pPr>
            <w:r w:rsidRPr="00D60E5E">
              <w:rPr>
                <w:rFonts w:ascii="Arial" w:hAnsi="Arial" w:cs="Arial"/>
                <w:b/>
                <w:bCs/>
                <w:sz w:val="20"/>
              </w:rPr>
              <w:t>Abkürzung</w:t>
            </w:r>
          </w:p>
        </w:tc>
        <w:tc>
          <w:tcPr>
            <w:tcW w:w="6555" w:type="dxa"/>
          </w:tcPr>
          <w:p w14:paraId="76BEBC55" w14:textId="77777777" w:rsidR="00CE6D41" w:rsidRPr="00D60E5E" w:rsidRDefault="00CE6D41">
            <w:pPr>
              <w:pStyle w:val="Textkrper2"/>
              <w:rPr>
                <w:rFonts w:ascii="Arial" w:hAnsi="Arial" w:cs="Arial"/>
                <w:b/>
                <w:bCs/>
                <w:sz w:val="20"/>
              </w:rPr>
            </w:pPr>
            <w:r w:rsidRPr="00D60E5E">
              <w:rPr>
                <w:rFonts w:ascii="Arial" w:hAnsi="Arial" w:cs="Arial"/>
                <w:b/>
                <w:bCs/>
                <w:sz w:val="20"/>
              </w:rPr>
              <w:t>Beschreibung</w:t>
            </w:r>
          </w:p>
        </w:tc>
      </w:tr>
      <w:tr w:rsidR="00CE6D41" w:rsidRPr="00D60E5E" w14:paraId="60FD4B0C" w14:textId="77777777">
        <w:tblPrEx>
          <w:tblCellMar>
            <w:top w:w="0" w:type="dxa"/>
            <w:bottom w:w="0" w:type="dxa"/>
          </w:tblCellMar>
        </w:tblPrEx>
        <w:tc>
          <w:tcPr>
            <w:tcW w:w="2657" w:type="dxa"/>
          </w:tcPr>
          <w:p w14:paraId="135EDAE6" w14:textId="77777777" w:rsidR="00CE6D41" w:rsidRPr="00D60E5E" w:rsidRDefault="000742D7">
            <w:pPr>
              <w:pStyle w:val="Textkrper2"/>
              <w:rPr>
                <w:rFonts w:ascii="Arial" w:hAnsi="Arial" w:cs="Arial"/>
                <w:sz w:val="20"/>
              </w:rPr>
            </w:pPr>
            <w:r w:rsidRPr="00D60E5E">
              <w:rPr>
                <w:rFonts w:ascii="Arial" w:hAnsi="Arial" w:cs="Arial"/>
                <w:sz w:val="20"/>
              </w:rPr>
              <w:t xml:space="preserve"> </w:t>
            </w:r>
            <w:r w:rsidR="0054798F" w:rsidRPr="00D60E5E">
              <w:rPr>
                <w:rFonts w:ascii="Arial" w:hAnsi="Arial" w:cs="Arial"/>
                <w:sz w:val="20"/>
              </w:rPr>
              <w:t>MVVTB</w:t>
            </w:r>
          </w:p>
        </w:tc>
        <w:tc>
          <w:tcPr>
            <w:tcW w:w="6555" w:type="dxa"/>
          </w:tcPr>
          <w:p w14:paraId="39007109" w14:textId="77777777" w:rsidR="00CE6D41" w:rsidRPr="00D60E5E" w:rsidRDefault="000742D7">
            <w:pPr>
              <w:pStyle w:val="Textkrper2"/>
              <w:rPr>
                <w:rFonts w:ascii="Arial" w:hAnsi="Arial" w:cs="Arial"/>
                <w:sz w:val="20"/>
              </w:rPr>
            </w:pPr>
            <w:r w:rsidRPr="00D60E5E">
              <w:rPr>
                <w:rFonts w:ascii="Arial" w:hAnsi="Arial" w:cs="Arial"/>
                <w:sz w:val="20"/>
              </w:rPr>
              <w:t xml:space="preserve"> </w:t>
            </w:r>
            <w:r w:rsidR="0054798F" w:rsidRPr="00D60E5E">
              <w:rPr>
                <w:rFonts w:ascii="Arial" w:hAnsi="Arial" w:cs="Arial"/>
                <w:sz w:val="20"/>
                <w:szCs w:val="20"/>
              </w:rPr>
              <w:t>Muster-Verwaltungsvorschrift Technische Baubestimmungen</w:t>
            </w:r>
          </w:p>
        </w:tc>
      </w:tr>
      <w:tr w:rsidR="00CE6D41" w:rsidRPr="00D60E5E" w14:paraId="1DCF19D4" w14:textId="77777777">
        <w:tblPrEx>
          <w:tblCellMar>
            <w:top w:w="0" w:type="dxa"/>
            <w:bottom w:w="0" w:type="dxa"/>
          </w:tblCellMar>
        </w:tblPrEx>
        <w:tc>
          <w:tcPr>
            <w:tcW w:w="2657" w:type="dxa"/>
          </w:tcPr>
          <w:p w14:paraId="7034F0F6" w14:textId="77777777" w:rsidR="00CE6D41" w:rsidRPr="00D60E5E" w:rsidRDefault="00CE6D41">
            <w:pPr>
              <w:pStyle w:val="Textkrper2"/>
              <w:rPr>
                <w:rFonts w:ascii="Arial" w:hAnsi="Arial" w:cs="Arial"/>
                <w:sz w:val="20"/>
              </w:rPr>
            </w:pPr>
          </w:p>
        </w:tc>
        <w:tc>
          <w:tcPr>
            <w:tcW w:w="6555" w:type="dxa"/>
          </w:tcPr>
          <w:p w14:paraId="3A0CF2E5" w14:textId="77777777" w:rsidR="00CE6D41" w:rsidRPr="00D60E5E" w:rsidRDefault="00CE6D41">
            <w:pPr>
              <w:pStyle w:val="Textkrper2"/>
              <w:rPr>
                <w:rFonts w:ascii="Arial" w:hAnsi="Arial" w:cs="Arial"/>
                <w:sz w:val="20"/>
              </w:rPr>
            </w:pPr>
          </w:p>
        </w:tc>
      </w:tr>
      <w:tr w:rsidR="00CE6D41" w:rsidRPr="00D60E5E" w14:paraId="3C52F1BC" w14:textId="77777777">
        <w:tblPrEx>
          <w:tblCellMar>
            <w:top w:w="0" w:type="dxa"/>
            <w:bottom w:w="0" w:type="dxa"/>
          </w:tblCellMar>
        </w:tblPrEx>
        <w:tc>
          <w:tcPr>
            <w:tcW w:w="2657" w:type="dxa"/>
          </w:tcPr>
          <w:p w14:paraId="2D1E9D4D" w14:textId="77777777" w:rsidR="00CE6D41" w:rsidRPr="00D60E5E" w:rsidRDefault="00CE6D41">
            <w:pPr>
              <w:pStyle w:val="Textkrper2"/>
              <w:rPr>
                <w:rFonts w:ascii="Arial" w:hAnsi="Arial" w:cs="Arial"/>
                <w:sz w:val="20"/>
              </w:rPr>
            </w:pPr>
          </w:p>
        </w:tc>
        <w:tc>
          <w:tcPr>
            <w:tcW w:w="6555" w:type="dxa"/>
          </w:tcPr>
          <w:p w14:paraId="0A857129" w14:textId="77777777" w:rsidR="00CE6D41" w:rsidRPr="00D60E5E" w:rsidRDefault="00CE6D41">
            <w:pPr>
              <w:pStyle w:val="Textkrper2"/>
              <w:rPr>
                <w:rFonts w:ascii="Arial" w:hAnsi="Arial" w:cs="Arial"/>
                <w:sz w:val="20"/>
              </w:rPr>
            </w:pPr>
          </w:p>
        </w:tc>
      </w:tr>
    </w:tbl>
    <w:p w14:paraId="551089D8" w14:textId="77777777" w:rsidR="00CE6D41" w:rsidRPr="00D60E5E" w:rsidRDefault="00CE6D41">
      <w:pPr>
        <w:pStyle w:val="Textkrper2"/>
      </w:pPr>
    </w:p>
    <w:sectPr w:rsidR="00CE6D41" w:rsidRPr="00D60E5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13B7" w14:textId="77777777" w:rsidR="00FD686A" w:rsidRDefault="00FD686A">
      <w:r>
        <w:separator/>
      </w:r>
    </w:p>
  </w:endnote>
  <w:endnote w:type="continuationSeparator" w:id="0">
    <w:p w14:paraId="492EC969" w14:textId="77777777" w:rsidR="00FD686A" w:rsidRDefault="00FD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C598" w14:textId="77777777" w:rsidR="00A067FF" w:rsidRDefault="00A067FF">
    <w:pPr>
      <w:pStyle w:val="Fuzeile"/>
      <w:jc w:val="center"/>
      <w:rPr>
        <w:rFonts w:ascii="Arial" w:hAnsi="Arial" w:cs="Arial"/>
        <w:b/>
        <w:bCs/>
        <w:color w:val="999999"/>
        <w:sz w:val="20"/>
      </w:rPr>
    </w:pPr>
    <w:r>
      <w:rPr>
        <w:rFonts w:ascii="Arial" w:hAnsi="Arial" w:cs="Arial"/>
        <w:b/>
        <w:bCs/>
        <w:color w:val="999999"/>
        <w:sz w:val="20"/>
      </w:rPr>
      <w:t xml:space="preserve">Weitere Informationen unter </w:t>
    </w:r>
    <w:hyperlink r:id="rId1" w:history="1">
      <w:r>
        <w:rPr>
          <w:rStyle w:val="Hyperlink"/>
          <w:rFonts w:ascii="Arial" w:hAnsi="Arial" w:cs="Arial"/>
          <w:b/>
          <w:bCs/>
          <w:color w:val="999999"/>
          <w:sz w:val="20"/>
        </w:rPr>
        <w:t>www.celsion.de</w:t>
      </w:r>
    </w:hyperlink>
  </w:p>
  <w:p w14:paraId="607A09BF" w14:textId="77777777" w:rsidR="00291788" w:rsidRDefault="00291788" w:rsidP="00291788">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9FE9" w14:textId="77777777" w:rsidR="00FD686A" w:rsidRDefault="00FD686A">
      <w:r>
        <w:separator/>
      </w:r>
    </w:p>
  </w:footnote>
  <w:footnote w:type="continuationSeparator" w:id="0">
    <w:p w14:paraId="460A1163" w14:textId="77777777" w:rsidR="00FD686A" w:rsidRDefault="00FD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6D5B" w14:textId="77777777" w:rsidR="00A067FF" w:rsidRDefault="00A067FF">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59FA02DD" w14:textId="77777777" w:rsidR="000C0A88" w:rsidRDefault="0047243D" w:rsidP="000C0A88">
    <w:pPr>
      <w:pStyle w:val="Kopfzeile"/>
      <w:rPr>
        <w:rFonts w:ascii="Arial" w:hAnsi="Arial" w:cs="Arial"/>
        <w:b/>
        <w:bCs/>
        <w:color w:val="999999"/>
        <w:sz w:val="20"/>
      </w:rPr>
    </w:pPr>
    <w:r>
      <w:rPr>
        <w:rFonts w:ascii="Arial" w:hAnsi="Arial" w:cs="Arial"/>
        <w:b/>
        <w:bCs/>
        <w:color w:val="999999"/>
        <w:sz w:val="20"/>
      </w:rPr>
      <w:t xml:space="preserve">Stand: </w:t>
    </w:r>
    <w:r w:rsidR="00CE02BF" w:rsidRPr="00D60E5E">
      <w:rPr>
        <w:rFonts w:ascii="Arial" w:hAnsi="Arial" w:cs="Arial"/>
        <w:b/>
        <w:bCs/>
        <w:color w:val="999999"/>
        <w:sz w:val="20"/>
      </w:rPr>
      <w:t>Februar 2024</w:t>
    </w:r>
  </w:p>
  <w:p w14:paraId="674CCB13" w14:textId="77777777" w:rsidR="00A067FF" w:rsidRDefault="00A067FF" w:rsidP="000C0A88">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2535067">
    <w:abstractNumId w:val="1"/>
  </w:num>
  <w:num w:numId="2" w16cid:durableId="18208068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907133">
    <w:abstractNumId w:val="0"/>
  </w:num>
  <w:num w:numId="4" w16cid:durableId="1912764380">
    <w:abstractNumId w:val="2"/>
  </w:num>
  <w:num w:numId="5" w16cid:durableId="2779504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6081606">
    <w:abstractNumId w:val="0"/>
    <w:lvlOverride w:ilvl="0"/>
    <w:lvlOverride w:ilvl="1"/>
    <w:lvlOverride w:ilvl="2"/>
    <w:lvlOverride w:ilvl="3"/>
    <w:lvlOverride w:ilvl="4"/>
    <w:lvlOverride w:ilvl="5"/>
    <w:lvlOverride w:ilvl="6"/>
    <w:lvlOverride w:ilvl="7"/>
    <w:lvlOverride w:ilvl="8"/>
  </w:num>
  <w:num w:numId="7" w16cid:durableId="189064935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1E"/>
    <w:rsid w:val="00054CF2"/>
    <w:rsid w:val="000742D7"/>
    <w:rsid w:val="000836B9"/>
    <w:rsid w:val="0008592B"/>
    <w:rsid w:val="000951FC"/>
    <w:rsid w:val="000B2B88"/>
    <w:rsid w:val="000B41D6"/>
    <w:rsid w:val="000C0A88"/>
    <w:rsid w:val="000D3532"/>
    <w:rsid w:val="00117EBE"/>
    <w:rsid w:val="00130807"/>
    <w:rsid w:val="00132317"/>
    <w:rsid w:val="00151DD1"/>
    <w:rsid w:val="00157787"/>
    <w:rsid w:val="00166950"/>
    <w:rsid w:val="0019621C"/>
    <w:rsid w:val="001C507F"/>
    <w:rsid w:val="00206862"/>
    <w:rsid w:val="00220321"/>
    <w:rsid w:val="0024359F"/>
    <w:rsid w:val="00284DD8"/>
    <w:rsid w:val="00291788"/>
    <w:rsid w:val="002A2FDE"/>
    <w:rsid w:val="002B364C"/>
    <w:rsid w:val="002B54F9"/>
    <w:rsid w:val="002D3A92"/>
    <w:rsid w:val="00334CB7"/>
    <w:rsid w:val="00353D00"/>
    <w:rsid w:val="003677D9"/>
    <w:rsid w:val="003704D4"/>
    <w:rsid w:val="00370ACF"/>
    <w:rsid w:val="003D7CBD"/>
    <w:rsid w:val="004349D1"/>
    <w:rsid w:val="0043509E"/>
    <w:rsid w:val="004621F9"/>
    <w:rsid w:val="0047243D"/>
    <w:rsid w:val="00476C61"/>
    <w:rsid w:val="004A0F55"/>
    <w:rsid w:val="004A526B"/>
    <w:rsid w:val="004C1E82"/>
    <w:rsid w:val="004D3A73"/>
    <w:rsid w:val="004D5EC0"/>
    <w:rsid w:val="0050350A"/>
    <w:rsid w:val="005056BF"/>
    <w:rsid w:val="0054798F"/>
    <w:rsid w:val="005707FB"/>
    <w:rsid w:val="0057370D"/>
    <w:rsid w:val="00593321"/>
    <w:rsid w:val="00595315"/>
    <w:rsid w:val="005E629B"/>
    <w:rsid w:val="005F0F09"/>
    <w:rsid w:val="0062197B"/>
    <w:rsid w:val="00627ABD"/>
    <w:rsid w:val="0064183E"/>
    <w:rsid w:val="00644E4A"/>
    <w:rsid w:val="00646499"/>
    <w:rsid w:val="00675798"/>
    <w:rsid w:val="006826E3"/>
    <w:rsid w:val="00697F17"/>
    <w:rsid w:val="006A1A17"/>
    <w:rsid w:val="006B00D0"/>
    <w:rsid w:val="006B6F2B"/>
    <w:rsid w:val="006C4A7D"/>
    <w:rsid w:val="007123F6"/>
    <w:rsid w:val="00731B4F"/>
    <w:rsid w:val="0073778E"/>
    <w:rsid w:val="007509CB"/>
    <w:rsid w:val="007937AF"/>
    <w:rsid w:val="0079587F"/>
    <w:rsid w:val="00797B22"/>
    <w:rsid w:val="007B0352"/>
    <w:rsid w:val="007B222A"/>
    <w:rsid w:val="007C602E"/>
    <w:rsid w:val="007E2D9B"/>
    <w:rsid w:val="00816DCD"/>
    <w:rsid w:val="00823A5A"/>
    <w:rsid w:val="00831173"/>
    <w:rsid w:val="008409A2"/>
    <w:rsid w:val="00844162"/>
    <w:rsid w:val="00851E5F"/>
    <w:rsid w:val="0089656E"/>
    <w:rsid w:val="008D1ABC"/>
    <w:rsid w:val="008E31CA"/>
    <w:rsid w:val="008F35F6"/>
    <w:rsid w:val="0090748E"/>
    <w:rsid w:val="00954895"/>
    <w:rsid w:val="009573FD"/>
    <w:rsid w:val="00965E3D"/>
    <w:rsid w:val="00977FD9"/>
    <w:rsid w:val="00995E62"/>
    <w:rsid w:val="009A0B22"/>
    <w:rsid w:val="009E0BD7"/>
    <w:rsid w:val="009E793A"/>
    <w:rsid w:val="009F7D52"/>
    <w:rsid w:val="00A03656"/>
    <w:rsid w:val="00A067FF"/>
    <w:rsid w:val="00A110CF"/>
    <w:rsid w:val="00A13692"/>
    <w:rsid w:val="00A4546F"/>
    <w:rsid w:val="00A70F01"/>
    <w:rsid w:val="00A8096E"/>
    <w:rsid w:val="00A86EF1"/>
    <w:rsid w:val="00A93764"/>
    <w:rsid w:val="00B433FD"/>
    <w:rsid w:val="00B44308"/>
    <w:rsid w:val="00B523C9"/>
    <w:rsid w:val="00B551F2"/>
    <w:rsid w:val="00BC1DFB"/>
    <w:rsid w:val="00BC6A97"/>
    <w:rsid w:val="00BD5714"/>
    <w:rsid w:val="00BE6B3F"/>
    <w:rsid w:val="00C26BC0"/>
    <w:rsid w:val="00C35B1E"/>
    <w:rsid w:val="00C3654F"/>
    <w:rsid w:val="00C71026"/>
    <w:rsid w:val="00C818A9"/>
    <w:rsid w:val="00C95EBC"/>
    <w:rsid w:val="00CA23BC"/>
    <w:rsid w:val="00CD3C6A"/>
    <w:rsid w:val="00CE02BF"/>
    <w:rsid w:val="00CE6D41"/>
    <w:rsid w:val="00CF661B"/>
    <w:rsid w:val="00D11F23"/>
    <w:rsid w:val="00D11F3A"/>
    <w:rsid w:val="00D60E5E"/>
    <w:rsid w:val="00D80E4E"/>
    <w:rsid w:val="00D819C7"/>
    <w:rsid w:val="00D81BC6"/>
    <w:rsid w:val="00D8310E"/>
    <w:rsid w:val="00D84C57"/>
    <w:rsid w:val="00D95CA6"/>
    <w:rsid w:val="00DA2E2F"/>
    <w:rsid w:val="00DA3048"/>
    <w:rsid w:val="00DA69EB"/>
    <w:rsid w:val="00DA79F4"/>
    <w:rsid w:val="00DF2E1E"/>
    <w:rsid w:val="00E07561"/>
    <w:rsid w:val="00E27DCF"/>
    <w:rsid w:val="00E56930"/>
    <w:rsid w:val="00EA42A1"/>
    <w:rsid w:val="00EC2A44"/>
    <w:rsid w:val="00EF534E"/>
    <w:rsid w:val="00EF61FF"/>
    <w:rsid w:val="00F13FD9"/>
    <w:rsid w:val="00F4653A"/>
    <w:rsid w:val="00F50406"/>
    <w:rsid w:val="00F548DB"/>
    <w:rsid w:val="00F7615F"/>
    <w:rsid w:val="00F966A3"/>
    <w:rsid w:val="00FA0D66"/>
    <w:rsid w:val="00FA1B07"/>
    <w:rsid w:val="00FA6981"/>
    <w:rsid w:val="00FC07E2"/>
    <w:rsid w:val="00FD686A"/>
    <w:rsid w:val="00FF7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96996C"/>
  <w15:chartTrackingRefBased/>
  <w15:docId w15:val="{8DCCF9B7-FB3A-4707-908B-885FF265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DF2E1E"/>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291788"/>
    <w:rPr>
      <w:sz w:val="24"/>
      <w:szCs w:val="24"/>
    </w:rPr>
  </w:style>
  <w:style w:type="character" w:customStyle="1" w:styleId="KopfzeileZchn">
    <w:name w:val="Kopfzeile Zchn"/>
    <w:link w:val="Kopfzeile"/>
    <w:rsid w:val="000C0A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030">
      <w:bodyDiv w:val="1"/>
      <w:marLeft w:val="0"/>
      <w:marRight w:val="0"/>
      <w:marTop w:val="0"/>
      <w:marBottom w:val="0"/>
      <w:divBdr>
        <w:top w:val="none" w:sz="0" w:space="0" w:color="auto"/>
        <w:left w:val="none" w:sz="0" w:space="0" w:color="auto"/>
        <w:bottom w:val="none" w:sz="0" w:space="0" w:color="auto"/>
        <w:right w:val="none" w:sz="0" w:space="0" w:color="auto"/>
      </w:divBdr>
    </w:div>
    <w:div w:id="308098763">
      <w:bodyDiv w:val="1"/>
      <w:marLeft w:val="0"/>
      <w:marRight w:val="0"/>
      <w:marTop w:val="0"/>
      <w:marBottom w:val="0"/>
      <w:divBdr>
        <w:top w:val="none" w:sz="0" w:space="0" w:color="auto"/>
        <w:left w:val="none" w:sz="0" w:space="0" w:color="auto"/>
        <w:bottom w:val="none" w:sz="0" w:space="0" w:color="auto"/>
        <w:right w:val="none" w:sz="0" w:space="0" w:color="auto"/>
      </w:divBdr>
    </w:div>
    <w:div w:id="660041390">
      <w:bodyDiv w:val="1"/>
      <w:marLeft w:val="0"/>
      <w:marRight w:val="0"/>
      <w:marTop w:val="0"/>
      <w:marBottom w:val="0"/>
      <w:divBdr>
        <w:top w:val="none" w:sz="0" w:space="0" w:color="auto"/>
        <w:left w:val="none" w:sz="0" w:space="0" w:color="auto"/>
        <w:bottom w:val="none" w:sz="0" w:space="0" w:color="auto"/>
        <w:right w:val="none" w:sz="0" w:space="0" w:color="auto"/>
      </w:divBdr>
    </w:div>
    <w:div w:id="669144672">
      <w:bodyDiv w:val="1"/>
      <w:marLeft w:val="0"/>
      <w:marRight w:val="0"/>
      <w:marTop w:val="0"/>
      <w:marBottom w:val="0"/>
      <w:divBdr>
        <w:top w:val="none" w:sz="0" w:space="0" w:color="auto"/>
        <w:left w:val="none" w:sz="0" w:space="0" w:color="auto"/>
        <w:bottom w:val="none" w:sz="0" w:space="0" w:color="auto"/>
        <w:right w:val="none" w:sz="0" w:space="0" w:color="auto"/>
      </w:divBdr>
    </w:div>
    <w:div w:id="909195843">
      <w:bodyDiv w:val="1"/>
      <w:marLeft w:val="0"/>
      <w:marRight w:val="0"/>
      <w:marTop w:val="0"/>
      <w:marBottom w:val="0"/>
      <w:divBdr>
        <w:top w:val="none" w:sz="0" w:space="0" w:color="auto"/>
        <w:left w:val="none" w:sz="0" w:space="0" w:color="auto"/>
        <w:bottom w:val="none" w:sz="0" w:space="0" w:color="auto"/>
        <w:right w:val="none" w:sz="0" w:space="0" w:color="auto"/>
      </w:divBdr>
    </w:div>
    <w:div w:id="910115281">
      <w:bodyDiv w:val="1"/>
      <w:marLeft w:val="0"/>
      <w:marRight w:val="0"/>
      <w:marTop w:val="0"/>
      <w:marBottom w:val="0"/>
      <w:divBdr>
        <w:top w:val="none" w:sz="0" w:space="0" w:color="auto"/>
        <w:left w:val="none" w:sz="0" w:space="0" w:color="auto"/>
        <w:bottom w:val="none" w:sz="0" w:space="0" w:color="auto"/>
        <w:right w:val="none" w:sz="0" w:space="0" w:color="auto"/>
      </w:divBdr>
    </w:div>
    <w:div w:id="1266960726">
      <w:bodyDiv w:val="1"/>
      <w:marLeft w:val="0"/>
      <w:marRight w:val="0"/>
      <w:marTop w:val="0"/>
      <w:marBottom w:val="0"/>
      <w:divBdr>
        <w:top w:val="none" w:sz="0" w:space="0" w:color="auto"/>
        <w:left w:val="none" w:sz="0" w:space="0" w:color="auto"/>
        <w:bottom w:val="none" w:sz="0" w:space="0" w:color="auto"/>
        <w:right w:val="none" w:sz="0" w:space="0" w:color="auto"/>
      </w:divBdr>
    </w:div>
    <w:div w:id="1313558511">
      <w:bodyDiv w:val="1"/>
      <w:marLeft w:val="0"/>
      <w:marRight w:val="0"/>
      <w:marTop w:val="0"/>
      <w:marBottom w:val="0"/>
      <w:divBdr>
        <w:top w:val="none" w:sz="0" w:space="0" w:color="auto"/>
        <w:left w:val="none" w:sz="0" w:space="0" w:color="auto"/>
        <w:bottom w:val="none" w:sz="0" w:space="0" w:color="auto"/>
        <w:right w:val="none" w:sz="0" w:space="0" w:color="auto"/>
      </w:divBdr>
    </w:div>
    <w:div w:id="1487436135">
      <w:bodyDiv w:val="1"/>
      <w:marLeft w:val="0"/>
      <w:marRight w:val="0"/>
      <w:marTop w:val="0"/>
      <w:marBottom w:val="0"/>
      <w:divBdr>
        <w:top w:val="none" w:sz="0" w:space="0" w:color="auto"/>
        <w:left w:val="none" w:sz="0" w:space="0" w:color="auto"/>
        <w:bottom w:val="none" w:sz="0" w:space="0" w:color="auto"/>
        <w:right w:val="none" w:sz="0" w:space="0" w:color="auto"/>
      </w:divBdr>
    </w:div>
    <w:div w:id="1546868849">
      <w:bodyDiv w:val="1"/>
      <w:marLeft w:val="0"/>
      <w:marRight w:val="0"/>
      <w:marTop w:val="0"/>
      <w:marBottom w:val="0"/>
      <w:divBdr>
        <w:top w:val="none" w:sz="0" w:space="0" w:color="auto"/>
        <w:left w:val="none" w:sz="0" w:space="0" w:color="auto"/>
        <w:bottom w:val="none" w:sz="0" w:space="0" w:color="auto"/>
        <w:right w:val="none" w:sz="0" w:space="0" w:color="auto"/>
      </w:divBdr>
    </w:div>
    <w:div w:id="2068217691">
      <w:bodyDiv w:val="1"/>
      <w:marLeft w:val="0"/>
      <w:marRight w:val="0"/>
      <w:marTop w:val="0"/>
      <w:marBottom w:val="0"/>
      <w:divBdr>
        <w:top w:val="none" w:sz="0" w:space="0" w:color="auto"/>
        <w:left w:val="none" w:sz="0" w:space="0" w:color="auto"/>
        <w:bottom w:val="none" w:sz="0" w:space="0" w:color="auto"/>
        <w:right w:val="none" w:sz="0" w:space="0" w:color="auto"/>
      </w:divBdr>
    </w:div>
    <w:div w:id="21441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4853</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2007-06-25T14:14:00Z</cp:lastPrinted>
  <dcterms:created xsi:type="dcterms:W3CDTF">2026-03-18T11:10:00Z</dcterms:created>
  <dcterms:modified xsi:type="dcterms:W3CDTF">2026-03-18T11:10:00Z</dcterms:modified>
</cp:coreProperties>
</file>